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7AB3002F" w:rsidR="00333FAA" w:rsidRPr="005E3A10" w:rsidRDefault="00AF4EC6" w:rsidP="00A53B04">
            <w:pPr>
              <w:rPr>
                <w:rFonts w:cs="Arial"/>
                <w:szCs w:val="24"/>
              </w:rPr>
            </w:pPr>
            <w:r>
              <w:rPr>
                <w:rFonts w:cs="Arial"/>
                <w:szCs w:val="24"/>
              </w:rPr>
              <w:t>15 September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1AED13D2" w14:textId="279BEE1F" w:rsidR="00333FAA" w:rsidRDefault="001C2924" w:rsidP="00A53B04">
            <w:pPr>
              <w:rPr>
                <w:rFonts w:cs="Arial"/>
              </w:rPr>
            </w:pPr>
            <w:r w:rsidRPr="35675DD2">
              <w:rPr>
                <w:rFonts w:cs="Arial"/>
              </w:rPr>
              <w:t>Children and Young People’s Emotional Health and Well-Being Service</w:t>
            </w:r>
          </w:p>
          <w:p w14:paraId="6D8FB2C1" w14:textId="7D0DF140" w:rsidR="001C2924" w:rsidRPr="005E3A10" w:rsidRDefault="001C2924"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30B52A09" w:rsidR="001C7E35" w:rsidRPr="005E3A10" w:rsidRDefault="001C7E35" w:rsidP="001C7E35">
            <w:pPr>
              <w:pStyle w:val="Infotext"/>
              <w:rPr>
                <w:rFonts w:cs="Arial"/>
                <w:sz w:val="24"/>
                <w:szCs w:val="24"/>
              </w:rPr>
            </w:pPr>
            <w:r w:rsidRPr="005E3A10">
              <w:rPr>
                <w:rFonts w:cs="Arial"/>
                <w:sz w:val="24"/>
                <w:szCs w:val="24"/>
              </w:rPr>
              <w:t>Yes</w:t>
            </w:r>
            <w:r w:rsidR="00453AC8">
              <w:rPr>
                <w:rFonts w:cs="Arial"/>
                <w:sz w:val="24"/>
                <w:szCs w:val="24"/>
              </w:rPr>
              <w:t xml:space="preserve">, decision </w:t>
            </w:r>
            <w:r w:rsidR="00B86252" w:rsidRPr="00B86252">
              <w:rPr>
                <w:rFonts w:cs="Arial"/>
                <w:sz w:val="24"/>
                <w:szCs w:val="24"/>
              </w:rPr>
              <w:t>effects communities living or working in an area of two or more wards of the Borough</w:t>
            </w:r>
          </w:p>
          <w:p w14:paraId="3EADF2B3" w14:textId="77777777" w:rsidR="00333FAA" w:rsidRPr="005E3A10" w:rsidRDefault="00333FAA" w:rsidP="00453AC8">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1C3C58B0" w:rsidR="001C7E35" w:rsidRPr="005E3A10" w:rsidRDefault="002C4639" w:rsidP="00D835CF">
            <w:pPr>
              <w:pStyle w:val="Infotext"/>
              <w:rPr>
                <w:rFonts w:cs="Arial"/>
                <w:sz w:val="24"/>
                <w:szCs w:val="24"/>
              </w:rPr>
            </w:pPr>
            <w:r>
              <w:rPr>
                <w:rFonts w:cs="Arial"/>
                <w:sz w:val="24"/>
                <w:szCs w:val="24"/>
              </w:rPr>
              <w:t>Peter Tolley</w:t>
            </w:r>
            <w:r w:rsidR="00435EFF">
              <w:rPr>
                <w:rFonts w:cs="Arial"/>
                <w:sz w:val="24"/>
                <w:szCs w:val="24"/>
              </w:rPr>
              <w:t xml:space="preserve"> - </w:t>
            </w:r>
            <w:r>
              <w:rPr>
                <w:rFonts w:cs="Arial"/>
                <w:sz w:val="24"/>
                <w:szCs w:val="24"/>
              </w:rPr>
              <w:t xml:space="preserve">Director </w:t>
            </w:r>
            <w:r w:rsidR="00435EFF">
              <w:rPr>
                <w:rFonts w:cs="Arial"/>
                <w:sz w:val="24"/>
                <w:szCs w:val="24"/>
              </w:rPr>
              <w:t>of Children’s</w:t>
            </w:r>
            <w:r w:rsidR="00FC3CE4">
              <w:rPr>
                <w:rFonts w:cs="Arial"/>
                <w:sz w:val="24"/>
                <w:szCs w:val="24"/>
              </w:rPr>
              <w:t xml:space="preserve"> </w:t>
            </w:r>
            <w:r>
              <w:rPr>
                <w:rFonts w:cs="Arial"/>
                <w:sz w:val="24"/>
                <w:szCs w:val="24"/>
              </w:rPr>
              <w:t xml:space="preserve">Services </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59BF01E" w14:textId="16FD50DC" w:rsidR="008B192C" w:rsidRPr="00FC3CE4" w:rsidRDefault="008B192C" w:rsidP="008B192C">
            <w:pPr>
              <w:pStyle w:val="Infotext"/>
              <w:rPr>
                <w:rFonts w:cs="Arial"/>
                <w:sz w:val="24"/>
                <w:szCs w:val="24"/>
              </w:rPr>
            </w:pPr>
            <w:r w:rsidRPr="00FC3CE4">
              <w:rPr>
                <w:rFonts w:cs="Arial"/>
                <w:sz w:val="24"/>
                <w:szCs w:val="24"/>
              </w:rPr>
              <w:t>Councillor Hitesh Karia</w:t>
            </w:r>
            <w:r w:rsidR="00435EFF">
              <w:rPr>
                <w:rFonts w:cs="Arial"/>
                <w:sz w:val="24"/>
                <w:szCs w:val="24"/>
              </w:rPr>
              <w:t xml:space="preserve"> - </w:t>
            </w:r>
            <w:r w:rsidR="001C7E35" w:rsidRPr="00FC3CE4">
              <w:rPr>
                <w:rFonts w:cs="Arial"/>
                <w:sz w:val="24"/>
                <w:szCs w:val="24"/>
              </w:rPr>
              <w:t xml:space="preserve">Portfolio Holder </w:t>
            </w:r>
            <w:r w:rsidRPr="00FC3CE4">
              <w:rPr>
                <w:rFonts w:cs="Arial"/>
                <w:sz w:val="24"/>
                <w:szCs w:val="24"/>
              </w:rPr>
              <w:t xml:space="preserve">for Children’s Services </w:t>
            </w:r>
          </w:p>
          <w:p w14:paraId="39A9A01A" w14:textId="1DD4BE79" w:rsidR="008B192C" w:rsidRPr="00FC3CE4" w:rsidRDefault="008B192C" w:rsidP="008B192C">
            <w:pPr>
              <w:pStyle w:val="Infotext"/>
              <w:rPr>
                <w:rFonts w:cs="Arial"/>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53D6DD49" w:rsidR="001C7E35" w:rsidRPr="00FC3CE4" w:rsidRDefault="001C7E35" w:rsidP="00D835CF">
            <w:pPr>
              <w:pStyle w:val="Infotext"/>
              <w:rPr>
                <w:rFonts w:cs="Arial"/>
                <w:sz w:val="24"/>
                <w:szCs w:val="24"/>
              </w:rPr>
            </w:pPr>
            <w:r w:rsidRPr="00FC3CE4">
              <w:rPr>
                <w:rFonts w:cs="Arial"/>
                <w:sz w:val="24"/>
                <w:szCs w:val="24"/>
              </w:rPr>
              <w:t>No</w:t>
            </w:r>
          </w:p>
          <w:p w14:paraId="755E47D1" w14:textId="77777777" w:rsidR="001C7E35" w:rsidRPr="00FC3CE4" w:rsidRDefault="001C7E35" w:rsidP="008B192C">
            <w:pPr>
              <w:pStyle w:val="Infotext"/>
              <w:rPr>
                <w:rFonts w:cs="Arial"/>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6F89BBE3" w14:textId="77777777" w:rsidR="00714BEE" w:rsidRPr="00FC3CE4" w:rsidRDefault="001C7E35" w:rsidP="008B192C">
            <w:pPr>
              <w:pStyle w:val="Infotext"/>
              <w:rPr>
                <w:rFonts w:cs="Arial"/>
                <w:sz w:val="24"/>
                <w:szCs w:val="24"/>
              </w:rPr>
            </w:pPr>
            <w:r w:rsidRPr="00FC3CE4">
              <w:rPr>
                <w:rFonts w:cs="Arial"/>
                <w:sz w:val="24"/>
                <w:szCs w:val="24"/>
              </w:rPr>
              <w:t xml:space="preserve">Yes </w:t>
            </w:r>
          </w:p>
          <w:p w14:paraId="568A0C8A" w14:textId="77777777" w:rsidR="008B192C" w:rsidRPr="00FC3CE4" w:rsidRDefault="008B192C" w:rsidP="008B192C">
            <w:pPr>
              <w:pStyle w:val="Infotext"/>
              <w:rPr>
                <w:rFonts w:cs="Arial"/>
                <w:szCs w:val="24"/>
              </w:rPr>
            </w:pPr>
          </w:p>
          <w:p w14:paraId="3A75E271" w14:textId="1FB3F9FC" w:rsidR="008B192C" w:rsidRPr="00FC3CE4" w:rsidRDefault="008B192C" w:rsidP="008B192C">
            <w:pPr>
              <w:pStyle w:val="Infotext"/>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47CFCD9C" w:rsidR="002E4F42" w:rsidRPr="00FC3CE4" w:rsidRDefault="00435EFF" w:rsidP="002E4F42">
            <w:pPr>
              <w:rPr>
                <w:rFonts w:cs="Arial"/>
                <w:b/>
                <w:szCs w:val="24"/>
              </w:rPr>
            </w:pPr>
            <w:r>
              <w:rPr>
                <w:rFonts w:cs="Arial"/>
                <w:szCs w:val="24"/>
              </w:rPr>
              <w:t>All</w:t>
            </w:r>
          </w:p>
          <w:p w14:paraId="52E38AE7" w14:textId="44BB9BCA" w:rsidR="00307F76" w:rsidRPr="00FC3CE4" w:rsidRDefault="00307F76" w:rsidP="00D835CF">
            <w:pPr>
              <w:rPr>
                <w:rFonts w:cs="Arial"/>
                <w:b/>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74D25F3F" w:rsidR="001C7E35" w:rsidRPr="005E3A10" w:rsidRDefault="002E4F42" w:rsidP="00DB6C3D">
            <w:pPr>
              <w:pStyle w:val="Infotext"/>
              <w:rPr>
                <w:color w:val="FF0000"/>
                <w:sz w:val="24"/>
                <w:szCs w:val="24"/>
              </w:rPr>
            </w:pPr>
            <w:r>
              <w:rPr>
                <w:rFonts w:cs="Arial"/>
                <w:sz w:val="24"/>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6855B6">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6855B6">
        <w:trPr>
          <w:tblHeader/>
        </w:trPr>
        <w:tc>
          <w:tcPr>
            <w:tcW w:w="8309" w:type="dxa"/>
          </w:tcPr>
          <w:p w14:paraId="4F00B6AC" w14:textId="6E8C886B" w:rsidR="00717C2A" w:rsidRPr="00BF31ED" w:rsidRDefault="00717C2A" w:rsidP="00605A4C">
            <w:r w:rsidRPr="00BF31ED">
              <w:t xml:space="preserve">This report sets out the background, the present position and </w:t>
            </w:r>
            <w:r w:rsidR="0034747D" w:rsidRPr="00BF31ED">
              <w:t xml:space="preserve">recommendations </w:t>
            </w:r>
            <w:r w:rsidRPr="00BF31ED">
              <w:t xml:space="preserve">for </w:t>
            </w:r>
            <w:r w:rsidR="00255A23" w:rsidRPr="00BF31ED">
              <w:t xml:space="preserve">re-tendering </w:t>
            </w:r>
            <w:r w:rsidR="00363836" w:rsidRPr="00BF31ED">
              <w:t xml:space="preserve">the </w:t>
            </w:r>
            <w:r w:rsidR="00B7248B" w:rsidRPr="00BF31ED">
              <w:t xml:space="preserve">current </w:t>
            </w:r>
            <w:r w:rsidR="004310CA" w:rsidRPr="00BF31ED">
              <w:t>emotional, health and well-being service for children and young people living in Harrow</w:t>
            </w:r>
            <w:r w:rsidR="00363836" w:rsidRPr="00BF31ED">
              <w:t xml:space="preserve">, jointly with </w:t>
            </w:r>
            <w:r w:rsidR="00811824">
              <w:t xml:space="preserve">NHS </w:t>
            </w:r>
            <w:proofErr w:type="gramStart"/>
            <w:r w:rsidR="00363836" w:rsidRPr="00BF31ED">
              <w:t>North West</w:t>
            </w:r>
            <w:proofErr w:type="gramEnd"/>
            <w:r w:rsidR="00363836" w:rsidRPr="00BF31ED">
              <w:t xml:space="preserve"> </w:t>
            </w:r>
            <w:r w:rsidR="00BF31ED" w:rsidRPr="00BF31ED">
              <w:t xml:space="preserve">London </w:t>
            </w:r>
            <w:r w:rsidR="00995CD2">
              <w:t>Integrated Care Board (ICB)</w:t>
            </w:r>
            <w:r w:rsidR="00BF31ED">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67869EF5" w:rsidR="001C7E35" w:rsidRDefault="001C7E35" w:rsidP="00605A4C">
            <w:r>
              <w:t>Cabinet is requested to:</w:t>
            </w:r>
          </w:p>
          <w:p w14:paraId="7D1B2108" w14:textId="14CF3CB3" w:rsidR="008504E7" w:rsidRDefault="008504E7" w:rsidP="008504E7"/>
          <w:p w14:paraId="0417BF0E" w14:textId="77777777" w:rsidR="008504E7" w:rsidRDefault="008504E7" w:rsidP="008504E7">
            <w:pPr>
              <w:pStyle w:val="ListParagraph"/>
              <w:numPr>
                <w:ilvl w:val="0"/>
                <w:numId w:val="1"/>
              </w:numPr>
            </w:pPr>
            <w:r>
              <w:t xml:space="preserve">Approve the commencement of the re-procurement of the Children and Young People’s Emotional, Health and Well-Being Service collaboratively with NHS </w:t>
            </w:r>
            <w:proofErr w:type="gramStart"/>
            <w:r>
              <w:t>North West</w:t>
            </w:r>
            <w:proofErr w:type="gramEnd"/>
            <w:r>
              <w:t xml:space="preserve"> London Integrated Care Board (ICB) for a 3 year term with the option to extend for a further 2 years via the agreement between the Council and North West London CCG under s75 of the National Health Service Act 2006.</w:t>
            </w:r>
          </w:p>
          <w:p w14:paraId="1E093D47" w14:textId="77777777" w:rsidR="008504E7" w:rsidRDefault="008504E7" w:rsidP="008504E7"/>
          <w:p w14:paraId="0307142E" w14:textId="764A5874" w:rsidR="004B55F3" w:rsidRDefault="00E13BEF" w:rsidP="00E13BEF">
            <w:pPr>
              <w:pStyle w:val="Heading3"/>
              <w:ind w:left="0" w:firstLine="0"/>
              <w:jc w:val="left"/>
            </w:pPr>
            <w:r>
              <w:t>Reason:</w:t>
            </w:r>
            <w:r w:rsidR="00435EFF">
              <w:t xml:space="preserve"> (for recommendations)</w:t>
            </w:r>
            <w:r>
              <w:t xml:space="preserve"> </w:t>
            </w:r>
          </w:p>
          <w:p w14:paraId="43DF66AA" w14:textId="77777777" w:rsidR="004B55F3" w:rsidRPr="004B55F3" w:rsidRDefault="004B55F3" w:rsidP="004B55F3"/>
          <w:p w14:paraId="6483A81A" w14:textId="2B3FE0DA" w:rsidR="004B55F3" w:rsidRDefault="004B55F3" w:rsidP="00D4004C">
            <w:pPr>
              <w:pStyle w:val="ListParagraph"/>
              <w:numPr>
                <w:ilvl w:val="0"/>
                <w:numId w:val="5"/>
              </w:numPr>
            </w:pPr>
            <w:r>
              <w:t xml:space="preserve">To fulfil the statutory requirement of Local authorities </w:t>
            </w:r>
            <w:r w:rsidR="00C11522">
              <w:t xml:space="preserve">and </w:t>
            </w:r>
            <w:r>
              <w:t xml:space="preserve">NHS </w:t>
            </w:r>
            <w:r w:rsidR="00C11522">
              <w:t xml:space="preserve">in </w:t>
            </w:r>
            <w:r>
              <w:t>commission</w:t>
            </w:r>
            <w:r w:rsidR="00C11522">
              <w:t>ing</w:t>
            </w:r>
            <w:r>
              <w:t xml:space="preserve"> health services for all children in their area.</w:t>
            </w:r>
          </w:p>
          <w:p w14:paraId="29D4CCD5" w14:textId="77777777" w:rsidR="004B55F3" w:rsidRDefault="004B55F3" w:rsidP="004B55F3"/>
          <w:p w14:paraId="63C2C39F" w14:textId="5F395155" w:rsidR="004B55F3" w:rsidRDefault="004B55F3" w:rsidP="00D4004C">
            <w:pPr>
              <w:pStyle w:val="ListParagraph"/>
              <w:numPr>
                <w:ilvl w:val="0"/>
                <w:numId w:val="5"/>
              </w:numPr>
            </w:pPr>
            <w:r>
              <w:t xml:space="preserve">To support the </w:t>
            </w:r>
            <w:r w:rsidRPr="00F52093">
              <w:t>corporate parenting responsibilities of local authorities</w:t>
            </w:r>
            <w:r>
              <w:t xml:space="preserve"> which </w:t>
            </w:r>
            <w:r w:rsidRPr="00F52093">
              <w:t>include</w:t>
            </w:r>
            <w:r>
              <w:t>s</w:t>
            </w:r>
            <w:r w:rsidRPr="00F52093">
              <w:t xml:space="preserve"> having a duty under section 22(3)(a) of the Children Act 1989 to safeguard and promote the welfare</w:t>
            </w:r>
            <w:r>
              <w:t xml:space="preserve"> of the children they look after, including </w:t>
            </w:r>
            <w:r w:rsidRPr="00F52093">
              <w:t xml:space="preserve">the promotion of the child’s physical, </w:t>
            </w:r>
            <w:proofErr w:type="gramStart"/>
            <w:r w:rsidRPr="00F52093">
              <w:t>emotional</w:t>
            </w:r>
            <w:proofErr w:type="gramEnd"/>
            <w:r w:rsidRPr="00F52093">
              <w:t xml:space="preserve"> and mental health</w:t>
            </w:r>
            <w:r>
              <w:t>.</w:t>
            </w:r>
          </w:p>
          <w:p w14:paraId="41D78619" w14:textId="77777777" w:rsidR="004B55F3" w:rsidRDefault="004B55F3" w:rsidP="004B55F3"/>
          <w:p w14:paraId="627373D2" w14:textId="1B1B4580" w:rsidR="004B55F3" w:rsidRPr="00D6656C" w:rsidRDefault="004B55F3" w:rsidP="00D4004C">
            <w:pPr>
              <w:pStyle w:val="Heading3"/>
              <w:numPr>
                <w:ilvl w:val="0"/>
                <w:numId w:val="5"/>
              </w:numPr>
              <w:jc w:val="left"/>
              <w:rPr>
                <w:b w:val="0"/>
                <w:bCs w:val="0"/>
                <w:sz w:val="24"/>
                <w:szCs w:val="24"/>
              </w:rPr>
            </w:pPr>
            <w:r w:rsidRPr="00D6656C">
              <w:rPr>
                <w:b w:val="0"/>
                <w:bCs w:val="0"/>
                <w:sz w:val="24"/>
                <w:szCs w:val="24"/>
              </w:rPr>
              <w:t>To enable the Local Authority to fulfil its statutory duty of ‘Promoting the Health and Well-Being of Looked-After Children’ in response to the statutory guidance for local authorities, clinical commissioning groups and NHS England, March 2015.</w:t>
            </w:r>
          </w:p>
          <w:p w14:paraId="313BC81E" w14:textId="77777777" w:rsidR="00333FAA" w:rsidRDefault="00333FAA" w:rsidP="00DC2BCD">
            <w:pPr>
              <w:pStyle w:val="Heading3"/>
              <w:ind w:left="0" w:firstLine="0"/>
              <w:jc w:val="left"/>
            </w:pPr>
          </w:p>
        </w:tc>
      </w:tr>
    </w:tbl>
    <w:p w14:paraId="0204F38A" w14:textId="77777777" w:rsidR="00333FAA" w:rsidRDefault="00333FAA" w:rsidP="00F06E4E">
      <w:pPr>
        <w:pStyle w:val="Heading2"/>
        <w:spacing w:before="480"/>
      </w:pPr>
      <w:r>
        <w:t>Section 2 – Report</w:t>
      </w:r>
    </w:p>
    <w:p w14:paraId="76168D48" w14:textId="2BEE3B37" w:rsidR="001C7E35" w:rsidRDefault="001C7E35" w:rsidP="00F06E4E">
      <w:pPr>
        <w:pStyle w:val="Heading3"/>
        <w:spacing w:before="240"/>
      </w:pPr>
      <w:r>
        <w:t>Introduct</w:t>
      </w:r>
      <w:r w:rsidR="008F755B">
        <w:t xml:space="preserve">ion </w:t>
      </w:r>
    </w:p>
    <w:p w14:paraId="3E6EB13A" w14:textId="08E5E12C" w:rsidR="00AA4663" w:rsidRDefault="00AA4663" w:rsidP="001C7E35"/>
    <w:p w14:paraId="0C6BF74C" w14:textId="769D88F1" w:rsidR="00F25F08" w:rsidRDefault="2FC42FB0" w:rsidP="00F25F08">
      <w:pPr>
        <w:numPr>
          <w:ilvl w:val="0"/>
          <w:numId w:val="4"/>
        </w:numPr>
      </w:pPr>
      <w:r>
        <w:t xml:space="preserve">Harrow commissioned the Children and Young People’s Emotional, Health and Well-Being Service jointly with NHS </w:t>
      </w:r>
      <w:proofErr w:type="gramStart"/>
      <w:r>
        <w:t>North West</w:t>
      </w:r>
      <w:proofErr w:type="gramEnd"/>
      <w:r>
        <w:t xml:space="preserve"> London ICB in </w:t>
      </w:r>
      <w:r w:rsidR="13AAC6F3">
        <w:t>2017. The service is provided by Barnardo’s and is know</w:t>
      </w:r>
      <w:r w:rsidR="2B1D0C55">
        <w:t>n</w:t>
      </w:r>
      <w:r w:rsidR="13AAC6F3">
        <w:t xml:space="preserve"> as Harrow Horizons. </w:t>
      </w:r>
    </w:p>
    <w:p w14:paraId="59FE0128" w14:textId="77777777" w:rsidR="00F25F08" w:rsidRDefault="00F25F08" w:rsidP="00040DDD">
      <w:pPr>
        <w:ind w:left="720"/>
      </w:pPr>
    </w:p>
    <w:p w14:paraId="6646EDE1" w14:textId="5FF90722" w:rsidR="00D152F8" w:rsidRPr="00F25F08" w:rsidRDefault="00F25F08" w:rsidP="00F25F08">
      <w:pPr>
        <w:numPr>
          <w:ilvl w:val="0"/>
          <w:numId w:val="4"/>
        </w:numPr>
        <w:rPr>
          <w:rFonts w:cs="Arial"/>
          <w:szCs w:val="24"/>
        </w:rPr>
      </w:pPr>
      <w:r w:rsidRPr="003C301F">
        <w:rPr>
          <w:rFonts w:cs="Arial"/>
          <w:szCs w:val="24"/>
        </w:rPr>
        <w:t xml:space="preserve">Harrow </w:t>
      </w:r>
      <w:r>
        <w:t>Horizons provides servi</w:t>
      </w:r>
      <w:r w:rsidR="00527DA8">
        <w:t xml:space="preserve">ces for </w:t>
      </w:r>
      <w:r w:rsidR="00A87F06">
        <w:t>Children</w:t>
      </w:r>
      <w:r w:rsidR="000C4C40">
        <w:t xml:space="preserve"> </w:t>
      </w:r>
      <w:r w:rsidR="007C0976">
        <w:t xml:space="preserve">Looked After and </w:t>
      </w:r>
      <w:r w:rsidR="006F1C30">
        <w:t xml:space="preserve">children </w:t>
      </w:r>
      <w:r w:rsidR="00040DDD">
        <w:t xml:space="preserve">known to social care, in accordance with the Local Authority’s duty and </w:t>
      </w:r>
      <w:r w:rsidR="007C0976">
        <w:t>universal services</w:t>
      </w:r>
      <w:r w:rsidR="00040DDD">
        <w:t xml:space="preserve">. </w:t>
      </w:r>
      <w:r w:rsidR="00D152F8" w:rsidRPr="00F25F08">
        <w:rPr>
          <w:rFonts w:cs="Arial"/>
          <w:szCs w:val="24"/>
        </w:rPr>
        <w:t xml:space="preserve">The current contract ends in March 2023, and there are no further extension periods available.  </w:t>
      </w:r>
    </w:p>
    <w:p w14:paraId="3EE69965" w14:textId="77777777" w:rsidR="00D152F8" w:rsidRPr="00D152F8" w:rsidRDefault="00D152F8" w:rsidP="00D152F8">
      <w:pPr>
        <w:pStyle w:val="ListParagraph"/>
        <w:rPr>
          <w:rFonts w:cs="Arial"/>
          <w:szCs w:val="24"/>
        </w:rPr>
      </w:pPr>
    </w:p>
    <w:p w14:paraId="3150CE8E" w14:textId="15C3A9BA" w:rsidR="00140F9A" w:rsidRPr="00E2183E" w:rsidRDefault="62480847" w:rsidP="00140F9A">
      <w:pPr>
        <w:numPr>
          <w:ilvl w:val="0"/>
          <w:numId w:val="4"/>
        </w:numPr>
        <w:rPr>
          <w:rStyle w:val="normaltextrun"/>
          <w:rFonts w:cs="Arial"/>
          <w:color w:val="000000" w:themeColor="text1"/>
        </w:rPr>
      </w:pPr>
      <w:r>
        <w:lastRenderedPageBreak/>
        <w:t xml:space="preserve">This report proposes that </w:t>
      </w:r>
      <w:r w:rsidR="5611D997">
        <w:t>the service is redesigned and re-procured, with the ICB as the lead commissioner.</w:t>
      </w:r>
      <w:r w:rsidR="5611D997" w:rsidRPr="00140F9A">
        <w:t xml:space="preserve"> </w:t>
      </w:r>
      <w:r w:rsidR="5611D997" w:rsidRPr="00E2183E">
        <w:t xml:space="preserve">The recommendation for approval to </w:t>
      </w:r>
      <w:r w:rsidR="5611D997">
        <w:t xml:space="preserve">re-tender the </w:t>
      </w:r>
      <w:r w:rsidR="5611D997" w:rsidRPr="00E2183E">
        <w:t>jointly commission</w:t>
      </w:r>
      <w:r w:rsidR="5611D997">
        <w:t xml:space="preserve">ed </w:t>
      </w:r>
      <w:r w:rsidR="5611D997" w:rsidRPr="00E2183E">
        <w:t xml:space="preserve">service with </w:t>
      </w:r>
      <w:proofErr w:type="gramStart"/>
      <w:r w:rsidR="5611D997">
        <w:t>North West</w:t>
      </w:r>
      <w:proofErr w:type="gramEnd"/>
      <w:r w:rsidR="5611D997">
        <w:t xml:space="preserve"> London ICB</w:t>
      </w:r>
      <w:r w:rsidR="5611D997" w:rsidRPr="00E2183E">
        <w:t xml:space="preserve">, </w:t>
      </w:r>
      <w:r w:rsidR="5611D997">
        <w:t xml:space="preserve">will ensure that the Local Authority </w:t>
      </w:r>
      <w:r w:rsidR="5611D997" w:rsidRPr="00E2183E">
        <w:t>fulfil</w:t>
      </w:r>
      <w:r w:rsidR="5611D997">
        <w:t>s</w:t>
      </w:r>
      <w:r w:rsidR="5611D997" w:rsidRPr="00E2183E">
        <w:t xml:space="preserve"> its statutory obligations </w:t>
      </w:r>
      <w:r w:rsidR="5611D997">
        <w:t>to work</w:t>
      </w:r>
      <w:r w:rsidR="5611D997" w:rsidRPr="00E2183E">
        <w:t xml:space="preserve"> together to commission health services for all children in their area</w:t>
      </w:r>
      <w:r w:rsidR="5611D997">
        <w:t xml:space="preserve">. The procurement will contribute to the </w:t>
      </w:r>
      <w:r w:rsidR="5611D997">
        <w:rPr>
          <w:rStyle w:val="normaltextrun"/>
          <w:rFonts w:cs="Arial"/>
          <w:color w:val="000000"/>
          <w:shd w:val="clear" w:color="auto" w:fill="FFFFFF"/>
        </w:rPr>
        <w:t>Council’s priority of Putting Residents First by providing mental health and emotional services for young people.</w:t>
      </w:r>
    </w:p>
    <w:p w14:paraId="0A078380" w14:textId="7198CF82" w:rsidR="00AD1E77" w:rsidRDefault="001C7E35" w:rsidP="00A1211C">
      <w:pPr>
        <w:pStyle w:val="Heading3"/>
        <w:spacing w:before="240"/>
        <w:ind w:left="0" w:firstLine="0"/>
        <w:jc w:val="left"/>
      </w:pPr>
      <w:r>
        <w:t>Options considered</w:t>
      </w:r>
    </w:p>
    <w:p w14:paraId="28E9AE1A" w14:textId="77777777" w:rsidR="00B36018" w:rsidRDefault="00B36018" w:rsidP="00B36018">
      <w:pPr>
        <w:pStyle w:val="Heading2"/>
        <w:numPr>
          <w:ilvl w:val="0"/>
          <w:numId w:val="4"/>
        </w:numPr>
        <w:spacing w:before="240"/>
        <w:rPr>
          <w:rFonts w:ascii="Arial" w:hAnsi="Arial"/>
          <w:b w:val="0"/>
          <w:bCs w:val="0"/>
          <w:sz w:val="24"/>
          <w:szCs w:val="24"/>
        </w:rPr>
      </w:pPr>
      <w:r w:rsidRPr="00B9638F">
        <w:rPr>
          <w:rFonts w:ascii="Arial" w:hAnsi="Arial"/>
          <w:b w:val="0"/>
          <w:bCs w:val="0"/>
          <w:sz w:val="24"/>
          <w:szCs w:val="24"/>
        </w:rPr>
        <w:t xml:space="preserve">The following options have been considered: </w:t>
      </w:r>
    </w:p>
    <w:p w14:paraId="02CF722A" w14:textId="77777777" w:rsidR="00CD6133" w:rsidRPr="00CD6133" w:rsidRDefault="00CD6133" w:rsidP="00CD6133"/>
    <w:p w14:paraId="3C9DCC62" w14:textId="3F7506EF" w:rsidR="00B17459" w:rsidRPr="00C40031" w:rsidRDefault="00B17459" w:rsidP="00CD6133">
      <w:pPr>
        <w:pStyle w:val="ListParagraph"/>
        <w:numPr>
          <w:ilvl w:val="0"/>
          <w:numId w:val="13"/>
        </w:numPr>
        <w:ind w:left="1440"/>
        <w:contextualSpacing/>
        <w:rPr>
          <w:bCs/>
        </w:rPr>
      </w:pPr>
      <w:r w:rsidRPr="00C40031">
        <w:rPr>
          <w:bCs/>
        </w:rPr>
        <w:t>Re-</w:t>
      </w:r>
      <w:r w:rsidR="00B90F4D">
        <w:rPr>
          <w:bCs/>
        </w:rPr>
        <w:t>design and re-</w:t>
      </w:r>
      <w:r w:rsidRPr="00C40031">
        <w:rPr>
          <w:bCs/>
        </w:rPr>
        <w:t xml:space="preserve">tender the service collaboratively with NHS </w:t>
      </w:r>
      <w:proofErr w:type="gramStart"/>
      <w:r w:rsidRPr="00C40031">
        <w:rPr>
          <w:bCs/>
        </w:rPr>
        <w:t>North West</w:t>
      </w:r>
      <w:proofErr w:type="gramEnd"/>
      <w:r w:rsidRPr="00C40031">
        <w:rPr>
          <w:bCs/>
        </w:rPr>
        <w:t xml:space="preserve"> London </w:t>
      </w:r>
      <w:r w:rsidR="00415F91">
        <w:rPr>
          <w:bCs/>
        </w:rPr>
        <w:t xml:space="preserve">ICB </w:t>
      </w:r>
      <w:r w:rsidRPr="00C40031">
        <w:rPr>
          <w:bCs/>
        </w:rPr>
        <w:t xml:space="preserve">via Section 75 of the National Health Service Act 2006 agreement.  </w:t>
      </w:r>
    </w:p>
    <w:p w14:paraId="0CB69F13" w14:textId="77777777" w:rsidR="00B17459" w:rsidRDefault="00B17459" w:rsidP="00CD6133">
      <w:pPr>
        <w:pStyle w:val="ListParagraph"/>
        <w:ind w:left="1440"/>
        <w:rPr>
          <w:bCs/>
        </w:rPr>
      </w:pPr>
    </w:p>
    <w:p w14:paraId="4BB88640" w14:textId="250073A8" w:rsidR="002B0AC4" w:rsidRPr="00A06ABD" w:rsidRDefault="00B17459" w:rsidP="00CD6133">
      <w:pPr>
        <w:pStyle w:val="ListParagraph"/>
        <w:numPr>
          <w:ilvl w:val="0"/>
          <w:numId w:val="13"/>
        </w:numPr>
        <w:ind w:left="1440"/>
        <w:rPr>
          <w:bCs/>
        </w:rPr>
      </w:pPr>
      <w:r w:rsidRPr="00E86153">
        <w:rPr>
          <w:bCs/>
        </w:rPr>
        <w:t>Commission a service independently</w:t>
      </w:r>
      <w:r w:rsidR="007F3DF6">
        <w:rPr>
          <w:bCs/>
        </w:rPr>
        <w:t xml:space="preserve">.  </w:t>
      </w:r>
      <w:r w:rsidR="002B0AC4" w:rsidRPr="00A06ABD">
        <w:rPr>
          <w:bCs/>
        </w:rPr>
        <w:t xml:space="preserve">The Local Authority would </w:t>
      </w:r>
      <w:r w:rsidR="00737CFF">
        <w:rPr>
          <w:bCs/>
        </w:rPr>
        <w:t xml:space="preserve">lose the </w:t>
      </w:r>
      <w:r w:rsidR="002B0AC4" w:rsidRPr="00A06ABD">
        <w:rPr>
          <w:bCs/>
        </w:rPr>
        <w:t xml:space="preserve">benefit from combining their limited resources to reach a greater proportion of vulnerable children and young people and thus meet their statutory responsibilities.  </w:t>
      </w:r>
    </w:p>
    <w:p w14:paraId="304EB6E4" w14:textId="77777777" w:rsidR="00B17459" w:rsidRPr="002B0AC4" w:rsidRDefault="00B17459" w:rsidP="00CD6133">
      <w:pPr>
        <w:pStyle w:val="ListParagraph"/>
        <w:ind w:left="1440"/>
        <w:contextualSpacing/>
        <w:rPr>
          <w:bCs/>
        </w:rPr>
      </w:pPr>
    </w:p>
    <w:p w14:paraId="3F2D72DA" w14:textId="415DB2CE" w:rsidR="00973BB8" w:rsidRPr="00964EA0" w:rsidRDefault="5CA51200" w:rsidP="00CD6133">
      <w:pPr>
        <w:pStyle w:val="ListParagraph"/>
        <w:numPr>
          <w:ilvl w:val="0"/>
          <w:numId w:val="13"/>
        </w:numPr>
        <w:ind w:left="1440"/>
      </w:pPr>
      <w:r>
        <w:t>Do not re-tender the service and allow the current contract to come to an end on 31</w:t>
      </w:r>
      <w:r w:rsidRPr="2BDFD774">
        <w:rPr>
          <w:vertAlign w:val="superscript"/>
        </w:rPr>
        <w:t>st</w:t>
      </w:r>
      <w:r>
        <w:t xml:space="preserve"> March 2023.</w:t>
      </w:r>
      <w:r w:rsidR="526EA749">
        <w:t xml:space="preserve"> This would not be considered a viable option for the local authority.  </w:t>
      </w:r>
      <w:r w:rsidR="006E301E">
        <w:t xml:space="preserve">Children </w:t>
      </w:r>
      <w:r w:rsidR="00675438">
        <w:t>looked</w:t>
      </w:r>
      <w:r w:rsidR="526EA749">
        <w:t xml:space="preserve">-after, children in need and children in need of early support are more likely to have </w:t>
      </w:r>
      <w:r w:rsidR="526EA749" w:rsidRPr="00964EA0">
        <w:t xml:space="preserve">experienced multiple adverse childhood experiences, including deprivation and poverty </w:t>
      </w:r>
      <w:proofErr w:type="gramStart"/>
      <w:r w:rsidR="526EA749" w:rsidRPr="00964EA0">
        <w:t>as a result of</w:t>
      </w:r>
      <w:proofErr w:type="gramEnd"/>
      <w:r w:rsidR="526EA749" w:rsidRPr="00964EA0">
        <w:t xml:space="preserve"> low family income or parental unemployment, abuse, and trauma. The local authority would therefore not be fulfilling their statutory duty with regards to promoting the emotional health and well-being of children looked after.</w:t>
      </w:r>
    </w:p>
    <w:p w14:paraId="015310D0" w14:textId="77777777" w:rsidR="00A06ABD" w:rsidRPr="00A06ABD" w:rsidRDefault="00A06ABD" w:rsidP="00A06ABD">
      <w:pPr>
        <w:pStyle w:val="ListParagraph"/>
        <w:rPr>
          <w:bCs/>
        </w:rPr>
      </w:pPr>
    </w:p>
    <w:p w14:paraId="1D45D9E0" w14:textId="12B37AD0" w:rsidR="002476B4" w:rsidRDefault="00A06ABD" w:rsidP="00D4004C">
      <w:pPr>
        <w:pStyle w:val="ListParagraph"/>
        <w:numPr>
          <w:ilvl w:val="0"/>
          <w:numId w:val="4"/>
        </w:numPr>
        <w:rPr>
          <w:bCs/>
        </w:rPr>
      </w:pPr>
      <w:r w:rsidRPr="00A06ABD">
        <w:rPr>
          <w:bCs/>
        </w:rPr>
        <w:t>Th</w:t>
      </w:r>
      <w:r w:rsidR="001347C2">
        <w:rPr>
          <w:bCs/>
        </w:rPr>
        <w:t>e preferred option is to re-tender jointly</w:t>
      </w:r>
      <w:r w:rsidR="001347C2" w:rsidRPr="00A06ABD">
        <w:rPr>
          <w:bCs/>
        </w:rPr>
        <w:t xml:space="preserve"> with Health </w:t>
      </w:r>
      <w:r w:rsidR="002E0E00">
        <w:rPr>
          <w:bCs/>
        </w:rPr>
        <w:t xml:space="preserve">and develop the service specification </w:t>
      </w:r>
      <w:r w:rsidRPr="00A06ABD">
        <w:rPr>
          <w:bCs/>
        </w:rPr>
        <w:t xml:space="preserve">with stakeholders, young </w:t>
      </w:r>
      <w:proofErr w:type="gramStart"/>
      <w:r w:rsidRPr="00A06ABD">
        <w:rPr>
          <w:bCs/>
        </w:rPr>
        <w:t>people</w:t>
      </w:r>
      <w:proofErr w:type="gramEnd"/>
      <w:r w:rsidRPr="00A06ABD">
        <w:rPr>
          <w:bCs/>
        </w:rPr>
        <w:t xml:space="preserve"> and </w:t>
      </w:r>
      <w:r w:rsidR="00F54B97">
        <w:rPr>
          <w:bCs/>
        </w:rPr>
        <w:t>p</w:t>
      </w:r>
      <w:r w:rsidRPr="00A06ABD">
        <w:rPr>
          <w:bCs/>
        </w:rPr>
        <w:t xml:space="preserve">rofessionals.  </w:t>
      </w:r>
    </w:p>
    <w:p w14:paraId="5D089B1E" w14:textId="0E5D921C" w:rsidR="00333FAA" w:rsidRPr="006F652A" w:rsidRDefault="00333FAA" w:rsidP="001472A8">
      <w:pPr>
        <w:pStyle w:val="Heading2"/>
        <w:spacing w:before="240"/>
        <w:rPr>
          <w:rFonts w:ascii="Arial" w:hAnsi="Arial"/>
          <w:sz w:val="28"/>
          <w:szCs w:val="28"/>
        </w:rPr>
      </w:pPr>
      <w:r w:rsidRPr="006F652A">
        <w:rPr>
          <w:rFonts w:ascii="Arial" w:hAnsi="Arial"/>
          <w:sz w:val="28"/>
          <w:szCs w:val="28"/>
        </w:rPr>
        <w:t>Background</w:t>
      </w:r>
    </w:p>
    <w:p w14:paraId="2E33A591" w14:textId="3DF5F143" w:rsidR="00333FAA" w:rsidRPr="00B15661" w:rsidRDefault="00333FAA" w:rsidP="00333FAA">
      <w:pPr>
        <w:rPr>
          <w:rFonts w:cs="Arial"/>
          <w:szCs w:val="24"/>
        </w:rPr>
      </w:pPr>
    </w:p>
    <w:p w14:paraId="22E77DF9" w14:textId="70A90477" w:rsidR="00AC12E7" w:rsidRDefault="00442E37" w:rsidP="00AC12E7">
      <w:pPr>
        <w:pStyle w:val="ListParagraph"/>
        <w:numPr>
          <w:ilvl w:val="0"/>
          <w:numId w:val="4"/>
        </w:numPr>
        <w:rPr>
          <w:rFonts w:cs="Arial"/>
          <w:szCs w:val="24"/>
        </w:rPr>
      </w:pPr>
      <w:r>
        <w:rPr>
          <w:rFonts w:cs="Arial"/>
          <w:szCs w:val="24"/>
        </w:rPr>
        <w:t xml:space="preserve">The Local Authority </w:t>
      </w:r>
      <w:r w:rsidR="00F54B97">
        <w:rPr>
          <w:rFonts w:cs="Arial"/>
          <w:szCs w:val="24"/>
        </w:rPr>
        <w:t>i</w:t>
      </w:r>
      <w:r w:rsidR="00AC12E7" w:rsidRPr="00366BFA">
        <w:rPr>
          <w:rFonts w:cs="Arial"/>
          <w:szCs w:val="24"/>
        </w:rPr>
        <w:t>n accordance with the Children Act 1989, has a duty to ‘Promote the Health and Well-Being of Looked-After Children’. Increasing and improving mental health services through an integrated approach with local authorities and health services, was a key objective in the Government’s Future in Mind Transformation Plan. In this context, in October 2015, the Health and Well-Being Board, agreed to develop an integrated Emotional Health and Wellbeing Targeted Service with</w:t>
      </w:r>
      <w:r w:rsidR="00AC12E7">
        <w:rPr>
          <w:rFonts w:cs="Arial"/>
          <w:szCs w:val="24"/>
        </w:rPr>
        <w:t xml:space="preserve"> the former</w:t>
      </w:r>
      <w:r w:rsidR="00AC12E7" w:rsidRPr="00366BFA">
        <w:rPr>
          <w:rFonts w:cs="Arial"/>
          <w:szCs w:val="24"/>
        </w:rPr>
        <w:t xml:space="preserve"> Harrow Clinical Commissioning Group (CCG) and the Council. </w:t>
      </w:r>
    </w:p>
    <w:p w14:paraId="7EEFE053" w14:textId="77777777" w:rsidR="00950514" w:rsidRPr="00E2183E" w:rsidRDefault="00950514" w:rsidP="00950514">
      <w:pPr>
        <w:ind w:left="720"/>
      </w:pPr>
    </w:p>
    <w:p w14:paraId="537DC94F" w14:textId="77777777" w:rsidR="00950514" w:rsidRDefault="00950514" w:rsidP="00950514">
      <w:pPr>
        <w:numPr>
          <w:ilvl w:val="0"/>
          <w:numId w:val="4"/>
        </w:numPr>
      </w:pPr>
      <w:r>
        <w:t xml:space="preserve">The Statutory guidance for local authorities, clinical commissioning groups (CCG) and NHS England, March 2015 states that the </w:t>
      </w:r>
      <w:r w:rsidRPr="00063CAD">
        <w:t xml:space="preserve">corporate parenting responsibilities of local authorities include having a duty </w:t>
      </w:r>
      <w:r>
        <w:lastRenderedPageBreak/>
        <w:t>(</w:t>
      </w:r>
      <w:r w:rsidRPr="00063CAD">
        <w:t>under section 22(3)(a) of the Children Act 1989</w:t>
      </w:r>
      <w:r>
        <w:t xml:space="preserve">) </w:t>
      </w:r>
      <w:r w:rsidRPr="00063CAD">
        <w:t xml:space="preserve">to safeguard and promote the </w:t>
      </w:r>
      <w:r>
        <w:t xml:space="preserve">emotional, mental health and physical </w:t>
      </w:r>
      <w:r w:rsidRPr="00063CAD">
        <w:t xml:space="preserve">welfare of the children they look after. </w:t>
      </w:r>
    </w:p>
    <w:p w14:paraId="1BA0D0F7" w14:textId="77777777" w:rsidR="00950514" w:rsidRDefault="00950514" w:rsidP="00950514"/>
    <w:p w14:paraId="6C0AADB1" w14:textId="45208119" w:rsidR="00E334A1" w:rsidRDefault="64DA3BEB" w:rsidP="003A17C7">
      <w:pPr>
        <w:pStyle w:val="ListParagraph"/>
        <w:numPr>
          <w:ilvl w:val="0"/>
          <w:numId w:val="4"/>
        </w:numPr>
        <w:rPr>
          <w:rFonts w:cs="Arial"/>
        </w:rPr>
      </w:pPr>
      <w:r w:rsidRPr="3EB0D82A">
        <w:rPr>
          <w:rFonts w:cs="Arial"/>
        </w:rPr>
        <w:t xml:space="preserve">Within the </w:t>
      </w:r>
      <w:r w:rsidR="4EA6AC29" w:rsidRPr="3EB0D82A">
        <w:rPr>
          <w:rFonts w:cs="Arial"/>
        </w:rPr>
        <w:t>Children’s Commissioner</w:t>
      </w:r>
      <w:r w:rsidR="47CD7A40" w:rsidRPr="3EB0D82A">
        <w:rPr>
          <w:rFonts w:cs="Arial"/>
        </w:rPr>
        <w:t>’s Report</w:t>
      </w:r>
      <w:r w:rsidR="12785CBF" w:rsidRPr="3EB0D82A">
        <w:rPr>
          <w:rFonts w:cs="Arial"/>
        </w:rPr>
        <w:t xml:space="preserve"> 2020/21</w:t>
      </w:r>
      <w:r w:rsidRPr="3EB0D82A">
        <w:rPr>
          <w:rFonts w:cs="Arial"/>
        </w:rPr>
        <w:t xml:space="preserve">, </w:t>
      </w:r>
      <w:r w:rsidR="5F7C669F" w:rsidRPr="3EB0D82A">
        <w:rPr>
          <w:rFonts w:cs="Arial"/>
        </w:rPr>
        <w:t xml:space="preserve">there is evidence that supports </w:t>
      </w:r>
      <w:r w:rsidR="2699174E" w:rsidRPr="3EB0D82A">
        <w:rPr>
          <w:rFonts w:cs="Arial"/>
        </w:rPr>
        <w:t xml:space="preserve">the need </w:t>
      </w:r>
      <w:r w:rsidR="5F7C669F" w:rsidRPr="3EB0D82A">
        <w:rPr>
          <w:rFonts w:cs="Arial"/>
        </w:rPr>
        <w:t xml:space="preserve">for local authorities </w:t>
      </w:r>
      <w:r w:rsidR="2699174E" w:rsidRPr="3EB0D82A">
        <w:rPr>
          <w:rFonts w:cs="Arial"/>
        </w:rPr>
        <w:t xml:space="preserve">to provide emotional, mental health </w:t>
      </w:r>
      <w:r w:rsidR="773CB5FC" w:rsidRPr="3EB0D82A">
        <w:rPr>
          <w:rFonts w:cs="Arial"/>
        </w:rPr>
        <w:t>support for Children Looked After</w:t>
      </w:r>
      <w:r w:rsidR="23BDF168" w:rsidRPr="3EB0D82A">
        <w:rPr>
          <w:rFonts w:cs="Arial"/>
        </w:rPr>
        <w:t xml:space="preserve"> (CLA)</w:t>
      </w:r>
      <w:r w:rsidR="773CB5FC" w:rsidRPr="3EB0D82A">
        <w:rPr>
          <w:rFonts w:cs="Arial"/>
        </w:rPr>
        <w:t>.</w:t>
      </w:r>
    </w:p>
    <w:p w14:paraId="74C829DF" w14:textId="3DFB481F" w:rsidR="00E334A1" w:rsidRDefault="00273BA0" w:rsidP="00E334A1">
      <w:pPr>
        <w:pStyle w:val="ListParagraph"/>
        <w:rPr>
          <w:rFonts w:cs="Arial"/>
          <w:szCs w:val="24"/>
        </w:rPr>
      </w:pPr>
      <w:r w:rsidRPr="00273BA0">
        <w:rPr>
          <w:rFonts w:cs="Arial"/>
          <w:szCs w:val="24"/>
        </w:rPr>
        <w:t xml:space="preserve">  </w:t>
      </w:r>
    </w:p>
    <w:p w14:paraId="64364E20" w14:textId="64617884" w:rsidR="00C23B90" w:rsidRPr="00C23B90" w:rsidRDefault="65516C02" w:rsidP="3EB0D82A">
      <w:pPr>
        <w:pStyle w:val="ListParagraph"/>
        <w:numPr>
          <w:ilvl w:val="0"/>
          <w:numId w:val="4"/>
        </w:numPr>
        <w:rPr>
          <w:rFonts w:cs="Arial"/>
        </w:rPr>
      </w:pPr>
      <w:r w:rsidRPr="3EB0D82A">
        <w:rPr>
          <w:rFonts w:cs="Arial"/>
        </w:rPr>
        <w:t xml:space="preserve">Due to multiple adverse childhood experiences and trauma, </w:t>
      </w:r>
      <w:r w:rsidR="57421499" w:rsidRPr="3EB0D82A">
        <w:rPr>
          <w:rFonts w:cs="Arial"/>
        </w:rPr>
        <w:t xml:space="preserve">Children </w:t>
      </w:r>
      <w:r w:rsidR="2D4D7385" w:rsidRPr="3EB0D82A">
        <w:rPr>
          <w:rFonts w:cs="Arial"/>
        </w:rPr>
        <w:t xml:space="preserve">Looked </w:t>
      </w:r>
      <w:r w:rsidR="0CF571AC" w:rsidRPr="3EB0D82A">
        <w:rPr>
          <w:rFonts w:cs="Arial"/>
        </w:rPr>
        <w:t>A</w:t>
      </w:r>
      <w:r w:rsidR="2D4D7385" w:rsidRPr="3EB0D82A">
        <w:rPr>
          <w:rFonts w:cs="Arial"/>
        </w:rPr>
        <w:t xml:space="preserve">fter are </w:t>
      </w:r>
      <w:r w:rsidR="16B20E3D" w:rsidRPr="3EB0D82A">
        <w:rPr>
          <w:rFonts w:cs="Arial"/>
        </w:rPr>
        <w:t xml:space="preserve">more </w:t>
      </w:r>
      <w:r w:rsidR="2D4D7385" w:rsidRPr="3EB0D82A">
        <w:rPr>
          <w:rFonts w:cs="Arial"/>
        </w:rPr>
        <w:t>likely to experience a mental health problem</w:t>
      </w:r>
      <w:r w:rsidR="62A31847" w:rsidRPr="3EB0D82A">
        <w:rPr>
          <w:rFonts w:cs="Arial"/>
        </w:rPr>
        <w:t>;</w:t>
      </w:r>
      <w:r w:rsidR="2D4D7385" w:rsidRPr="3EB0D82A">
        <w:rPr>
          <w:rFonts w:cs="Arial"/>
        </w:rPr>
        <w:t xml:space="preserve"> </w:t>
      </w:r>
      <w:r w:rsidR="26778600" w:rsidRPr="3EB0D82A">
        <w:rPr>
          <w:rFonts w:cs="Arial"/>
        </w:rPr>
        <w:t xml:space="preserve">the 2015 </w:t>
      </w:r>
      <w:r w:rsidR="2D4D7385" w:rsidRPr="3EB0D82A">
        <w:rPr>
          <w:rFonts w:cs="Arial"/>
        </w:rPr>
        <w:t>Future in Mind and the NHS Long Term Plan</w:t>
      </w:r>
      <w:r w:rsidR="26778600" w:rsidRPr="3EB0D82A">
        <w:rPr>
          <w:rFonts w:cs="Arial"/>
        </w:rPr>
        <w:t xml:space="preserve"> strategies</w:t>
      </w:r>
      <w:r w:rsidR="6A4F14D2" w:rsidRPr="3EB0D82A">
        <w:rPr>
          <w:rFonts w:cs="Arial"/>
        </w:rPr>
        <w:t xml:space="preserve"> identified CLA</w:t>
      </w:r>
      <w:r w:rsidR="26778600" w:rsidRPr="3EB0D82A">
        <w:rPr>
          <w:rFonts w:cs="Arial"/>
        </w:rPr>
        <w:t xml:space="preserve">, </w:t>
      </w:r>
      <w:r w:rsidR="2D4D7385" w:rsidRPr="3EB0D82A">
        <w:rPr>
          <w:rFonts w:cs="Arial"/>
        </w:rPr>
        <w:t xml:space="preserve">as one of the most vulnerable groups in terms of emotional wellbeing and mental health. </w:t>
      </w:r>
    </w:p>
    <w:p w14:paraId="6069BE6A" w14:textId="35A7A05F" w:rsidR="3EB0D82A" w:rsidRDefault="3EB0D82A" w:rsidP="3EB0D82A">
      <w:pPr>
        <w:rPr>
          <w:rFonts w:cs="Arial"/>
        </w:rPr>
      </w:pPr>
    </w:p>
    <w:p w14:paraId="748A3D31" w14:textId="2386D619" w:rsidR="004C5E70" w:rsidRPr="00B844A4" w:rsidRDefault="6E9EEB1F" w:rsidP="00B844A4">
      <w:pPr>
        <w:pStyle w:val="ListParagraph"/>
        <w:numPr>
          <w:ilvl w:val="0"/>
          <w:numId w:val="4"/>
        </w:numPr>
        <w:rPr>
          <w:rFonts w:cs="Arial"/>
          <w:szCs w:val="24"/>
        </w:rPr>
      </w:pPr>
      <w:r w:rsidRPr="3EB0D82A">
        <w:rPr>
          <w:rFonts w:cs="Arial"/>
        </w:rPr>
        <w:t xml:space="preserve">From NHS national data, the </w:t>
      </w:r>
      <w:r w:rsidR="2D4D7385" w:rsidRPr="3EB0D82A">
        <w:rPr>
          <w:rFonts w:cs="Arial"/>
        </w:rPr>
        <w:t>estimat</w:t>
      </w:r>
      <w:r w:rsidRPr="3EB0D82A">
        <w:rPr>
          <w:rFonts w:cs="Arial"/>
        </w:rPr>
        <w:t xml:space="preserve">ion </w:t>
      </w:r>
      <w:r w:rsidR="1E55E84C" w:rsidRPr="3EB0D82A">
        <w:rPr>
          <w:rFonts w:cs="Arial"/>
        </w:rPr>
        <w:t>of children looked after meeting the criteria for a diagnosable mental health disorder</w:t>
      </w:r>
      <w:r w:rsidR="59A7E8FB" w:rsidRPr="3EB0D82A">
        <w:rPr>
          <w:rFonts w:cs="Arial"/>
        </w:rPr>
        <w:t xml:space="preserve"> </w:t>
      </w:r>
      <w:r w:rsidR="1E55E84C" w:rsidRPr="3EB0D82A">
        <w:rPr>
          <w:rFonts w:cs="Arial"/>
        </w:rPr>
        <w:t xml:space="preserve">will be </w:t>
      </w:r>
      <w:r w:rsidR="59A7E8FB" w:rsidRPr="3EB0D82A">
        <w:rPr>
          <w:rFonts w:cs="Arial"/>
        </w:rPr>
        <w:t xml:space="preserve">approximately 50 per cent.  </w:t>
      </w:r>
      <w:r w:rsidR="448C8710" w:rsidRPr="3EB0D82A">
        <w:rPr>
          <w:rFonts w:cs="Arial"/>
        </w:rPr>
        <w:t>T</w:t>
      </w:r>
      <w:r w:rsidR="2D4D7385" w:rsidRPr="3EB0D82A">
        <w:rPr>
          <w:rFonts w:cs="Arial"/>
        </w:rPr>
        <w:t xml:space="preserve">he Department of Education and Department of Health </w:t>
      </w:r>
      <w:r w:rsidR="448C8710" w:rsidRPr="3EB0D82A">
        <w:rPr>
          <w:rFonts w:cs="Arial"/>
        </w:rPr>
        <w:t xml:space="preserve">acknowledge this </w:t>
      </w:r>
      <w:r w:rsidR="2D4D7385" w:rsidRPr="3EB0D82A">
        <w:rPr>
          <w:rFonts w:cs="Arial"/>
        </w:rPr>
        <w:t xml:space="preserve">in their statutory guidance on promoting the health and wellbeing of looked-after children. </w:t>
      </w:r>
    </w:p>
    <w:p w14:paraId="1AA35566" w14:textId="77777777" w:rsidR="00C425FB" w:rsidRDefault="00C425FB" w:rsidP="00C425FB">
      <w:pPr>
        <w:pStyle w:val="ListParagraph"/>
        <w:rPr>
          <w:rFonts w:cs="Arial"/>
          <w:szCs w:val="24"/>
        </w:rPr>
      </w:pPr>
    </w:p>
    <w:p w14:paraId="66AFB05D" w14:textId="77777777" w:rsidR="007E519D" w:rsidRPr="00F163C6" w:rsidRDefault="007E519D" w:rsidP="007E519D">
      <w:pPr>
        <w:pStyle w:val="Heading2"/>
        <w:rPr>
          <w:rFonts w:ascii="Arial" w:hAnsi="Arial"/>
          <w:sz w:val="28"/>
          <w:szCs w:val="28"/>
        </w:rPr>
      </w:pPr>
      <w:r w:rsidRPr="00F163C6">
        <w:rPr>
          <w:rFonts w:ascii="Arial" w:hAnsi="Arial"/>
          <w:sz w:val="28"/>
          <w:szCs w:val="28"/>
        </w:rPr>
        <w:t>Current situation</w:t>
      </w:r>
    </w:p>
    <w:p w14:paraId="5C9E37DE" w14:textId="77777777" w:rsidR="00D47C81" w:rsidRPr="00D47C81" w:rsidRDefault="00D47C81" w:rsidP="00D47C81">
      <w:pPr>
        <w:rPr>
          <w:rFonts w:cs="Arial"/>
          <w:szCs w:val="24"/>
        </w:rPr>
      </w:pPr>
    </w:p>
    <w:p w14:paraId="52773FAC" w14:textId="61191D04" w:rsidR="00C931E6" w:rsidRDefault="708EBA43" w:rsidP="3EB0D82A">
      <w:pPr>
        <w:pStyle w:val="ListParagraph"/>
        <w:numPr>
          <w:ilvl w:val="0"/>
          <w:numId w:val="4"/>
        </w:numPr>
        <w:rPr>
          <w:rFonts w:cs="Arial"/>
        </w:rPr>
      </w:pPr>
      <w:r w:rsidRPr="3EB0D82A">
        <w:rPr>
          <w:rFonts w:cs="Arial"/>
        </w:rPr>
        <w:t>Harrow Horizon</w:t>
      </w:r>
      <w:r w:rsidR="35264DE3" w:rsidRPr="3EB0D82A">
        <w:rPr>
          <w:rFonts w:cs="Arial"/>
        </w:rPr>
        <w:t>’</w:t>
      </w:r>
      <w:r w:rsidRPr="3EB0D82A">
        <w:rPr>
          <w:rFonts w:cs="Arial"/>
        </w:rPr>
        <w:t xml:space="preserve">s Children and Young People’s Emotional Health and Wellbeing Targeted Service is </w:t>
      </w:r>
      <w:r w:rsidR="2AC73CA4" w:rsidRPr="3EB0D82A">
        <w:rPr>
          <w:rFonts w:cs="Arial"/>
        </w:rPr>
        <w:t>delivered and managed b</w:t>
      </w:r>
      <w:r w:rsidRPr="3EB0D82A">
        <w:rPr>
          <w:rFonts w:cs="Arial"/>
        </w:rPr>
        <w:t>y experienced clinicians and mental health practitioners, the service works closely with schools, providing short- to mid-term therapeutic intervention. Offering mental health and therapeutic support, including early intervention. It offers a person centred, age appropriate and flexible approach.</w:t>
      </w:r>
    </w:p>
    <w:p w14:paraId="43D29767" w14:textId="77777777" w:rsidR="00C931E6" w:rsidRPr="00C931E6" w:rsidRDefault="00C931E6" w:rsidP="00C931E6">
      <w:pPr>
        <w:pStyle w:val="ListParagraph"/>
        <w:rPr>
          <w:rFonts w:cs="Arial"/>
          <w:szCs w:val="24"/>
        </w:rPr>
      </w:pPr>
    </w:p>
    <w:p w14:paraId="6438BF4D" w14:textId="77777777" w:rsidR="00C922E1" w:rsidRDefault="6F976086" w:rsidP="00C922E1">
      <w:pPr>
        <w:pStyle w:val="ListParagraph"/>
        <w:numPr>
          <w:ilvl w:val="0"/>
          <w:numId w:val="4"/>
        </w:numPr>
        <w:rPr>
          <w:rFonts w:cs="Arial"/>
          <w:szCs w:val="24"/>
        </w:rPr>
      </w:pPr>
      <w:r w:rsidRPr="3EB0D82A">
        <w:rPr>
          <w:rFonts w:cs="Arial"/>
        </w:rPr>
        <w:t xml:space="preserve">An innovative approach to the co-production of the Harrow Horizons service was adopted. Children and young people from Harrow were involved in the design of the current service, selecting the </w:t>
      </w:r>
      <w:proofErr w:type="gramStart"/>
      <w:r w:rsidRPr="3EB0D82A">
        <w:rPr>
          <w:rFonts w:cs="Arial"/>
        </w:rPr>
        <w:t>provider</w:t>
      </w:r>
      <w:proofErr w:type="gramEnd"/>
      <w:r w:rsidRPr="3EB0D82A">
        <w:rPr>
          <w:rFonts w:cs="Arial"/>
        </w:rPr>
        <w:t xml:space="preserve"> and naming the service from the outset.  Subsequently a small number of young people have continued to be involved in Harrow Horizons youth participation group that encourages the voices of service users to help develop and improve the quality of provision.     </w:t>
      </w:r>
    </w:p>
    <w:p w14:paraId="700FE53B" w14:textId="77777777" w:rsidR="00C922E1" w:rsidRPr="00CA722E" w:rsidRDefault="00C922E1" w:rsidP="00C922E1">
      <w:pPr>
        <w:pStyle w:val="ListParagraph"/>
        <w:rPr>
          <w:rFonts w:cs="Arial"/>
          <w:szCs w:val="24"/>
        </w:rPr>
      </w:pPr>
    </w:p>
    <w:p w14:paraId="2CD9F6BB" w14:textId="4DAF6995" w:rsidR="00C922E1" w:rsidRDefault="6F976086" w:rsidP="3EB0D82A">
      <w:pPr>
        <w:pStyle w:val="ListParagraph"/>
        <w:numPr>
          <w:ilvl w:val="0"/>
          <w:numId w:val="4"/>
        </w:numPr>
        <w:rPr>
          <w:rFonts w:cs="Arial"/>
        </w:rPr>
      </w:pPr>
      <w:r w:rsidRPr="3EB0D82A">
        <w:rPr>
          <w:rFonts w:cs="Arial"/>
        </w:rPr>
        <w:t xml:space="preserve">The Council and Harrow CCG entered into a Section 75 Agreement to commission this service. As the lead commissioner and following a competitive procurement process, Harrow CCG, appointed </w:t>
      </w:r>
      <w:r w:rsidR="23FC22E1" w:rsidRPr="3EB0D82A">
        <w:rPr>
          <w:rFonts w:cs="Arial"/>
        </w:rPr>
        <w:t>the</w:t>
      </w:r>
      <w:r w:rsidRPr="3EB0D82A">
        <w:rPr>
          <w:rFonts w:cs="Arial"/>
        </w:rPr>
        <w:t xml:space="preserve"> national charity </w:t>
      </w:r>
      <w:r w:rsidR="61E8B553" w:rsidRPr="3EB0D82A">
        <w:rPr>
          <w:rFonts w:cs="Arial"/>
        </w:rPr>
        <w:t>Barnardo's</w:t>
      </w:r>
      <w:r w:rsidRPr="3EB0D82A">
        <w:rPr>
          <w:rFonts w:cs="Arial"/>
        </w:rPr>
        <w:t xml:space="preserve">, as the service provider. </w:t>
      </w:r>
    </w:p>
    <w:p w14:paraId="2C71EB53" w14:textId="77777777" w:rsidR="00C922E1" w:rsidRPr="00C922E1" w:rsidRDefault="00C922E1" w:rsidP="00C922E1">
      <w:pPr>
        <w:rPr>
          <w:rFonts w:cs="Arial"/>
          <w:szCs w:val="24"/>
        </w:rPr>
      </w:pPr>
    </w:p>
    <w:p w14:paraId="436AE7E3" w14:textId="4B55F1BA" w:rsidR="00727DB6" w:rsidRDefault="65AB7E27" w:rsidP="3EB0D82A">
      <w:pPr>
        <w:pStyle w:val="ListParagraph"/>
        <w:numPr>
          <w:ilvl w:val="0"/>
          <w:numId w:val="4"/>
        </w:numPr>
        <w:rPr>
          <w:rFonts w:cs="Arial"/>
        </w:rPr>
      </w:pPr>
      <w:r w:rsidRPr="3EB0D82A">
        <w:rPr>
          <w:rFonts w:cs="Arial"/>
        </w:rPr>
        <w:t xml:space="preserve">The contract with </w:t>
      </w:r>
      <w:r w:rsidR="141439B6" w:rsidRPr="3EB0D82A">
        <w:rPr>
          <w:rFonts w:cs="Arial"/>
        </w:rPr>
        <w:t>Barnardo's</w:t>
      </w:r>
      <w:r w:rsidRPr="3EB0D82A">
        <w:rPr>
          <w:rFonts w:cs="Arial"/>
        </w:rPr>
        <w:t xml:space="preserve"> </w:t>
      </w:r>
      <w:r w:rsidR="212ED0A3" w:rsidRPr="3EB0D82A">
        <w:rPr>
          <w:rFonts w:cs="Arial"/>
        </w:rPr>
        <w:t>commenced in April 201</w:t>
      </w:r>
      <w:r w:rsidR="0B50F87F" w:rsidRPr="3EB0D82A">
        <w:rPr>
          <w:rFonts w:cs="Arial"/>
        </w:rPr>
        <w:t>7</w:t>
      </w:r>
      <w:r w:rsidR="485A16F6" w:rsidRPr="3EB0D82A">
        <w:rPr>
          <w:rFonts w:cs="Arial"/>
        </w:rPr>
        <w:t>,</w:t>
      </w:r>
      <w:r w:rsidR="5D5DC203" w:rsidRPr="3EB0D82A">
        <w:rPr>
          <w:rFonts w:cs="Arial"/>
        </w:rPr>
        <w:t xml:space="preserve"> the local authority in partnership with Health </w:t>
      </w:r>
      <w:r w:rsidR="7D0F3137" w:rsidRPr="3EB0D82A">
        <w:rPr>
          <w:rFonts w:cs="Arial"/>
        </w:rPr>
        <w:t>intends to procure a new service commencing 1</w:t>
      </w:r>
      <w:r w:rsidR="7D0F3137" w:rsidRPr="3EB0D82A">
        <w:rPr>
          <w:rFonts w:cs="Arial"/>
          <w:vertAlign w:val="superscript"/>
        </w:rPr>
        <w:t>st</w:t>
      </w:r>
      <w:r w:rsidR="7D0F3137" w:rsidRPr="3EB0D82A">
        <w:rPr>
          <w:rFonts w:cs="Arial"/>
        </w:rPr>
        <w:t xml:space="preserve"> April 2023.  </w:t>
      </w:r>
    </w:p>
    <w:p w14:paraId="70946A4B" w14:textId="308E291C" w:rsidR="00C931E6" w:rsidRPr="00C931E6" w:rsidRDefault="00671109" w:rsidP="00463B74">
      <w:pPr>
        <w:pStyle w:val="ListParagraph"/>
        <w:rPr>
          <w:rFonts w:cs="Arial"/>
          <w:szCs w:val="24"/>
        </w:rPr>
      </w:pPr>
      <w:r w:rsidRPr="00671109">
        <w:rPr>
          <w:rFonts w:cs="Arial"/>
          <w:szCs w:val="24"/>
        </w:rPr>
        <w:t xml:space="preserve"> </w:t>
      </w:r>
    </w:p>
    <w:p w14:paraId="0383DC76" w14:textId="0816FF87" w:rsidR="00671109" w:rsidRDefault="79846F07" w:rsidP="00671109">
      <w:pPr>
        <w:pStyle w:val="ListParagraph"/>
        <w:numPr>
          <w:ilvl w:val="0"/>
          <w:numId w:val="4"/>
        </w:numPr>
        <w:rPr>
          <w:rFonts w:cs="Arial"/>
          <w:szCs w:val="24"/>
        </w:rPr>
      </w:pPr>
      <w:r w:rsidRPr="3EB0D82A">
        <w:rPr>
          <w:rFonts w:cs="Arial"/>
        </w:rPr>
        <w:t>The c</w:t>
      </w:r>
      <w:r w:rsidR="1EAFCE69" w:rsidRPr="3EB0D82A">
        <w:rPr>
          <w:rFonts w:cs="Arial"/>
        </w:rPr>
        <w:t xml:space="preserve">ontract value </w:t>
      </w:r>
      <w:r w:rsidRPr="3EB0D82A">
        <w:rPr>
          <w:rFonts w:cs="Arial"/>
        </w:rPr>
        <w:t>of £</w:t>
      </w:r>
      <w:r w:rsidR="1EAFCE69" w:rsidRPr="3EB0D82A">
        <w:rPr>
          <w:rFonts w:cs="Arial"/>
        </w:rPr>
        <w:t>550</w:t>
      </w:r>
      <w:r w:rsidR="00FC3CE4">
        <w:rPr>
          <w:rFonts w:cs="Arial"/>
        </w:rPr>
        <w:t>,000</w:t>
      </w:r>
      <w:r w:rsidR="1EAFCE69" w:rsidRPr="3EB0D82A">
        <w:rPr>
          <w:rFonts w:cs="Arial"/>
        </w:rPr>
        <w:t xml:space="preserve"> per annum </w:t>
      </w:r>
      <w:r w:rsidRPr="3EB0D82A">
        <w:rPr>
          <w:rFonts w:cs="Arial"/>
        </w:rPr>
        <w:t>is</w:t>
      </w:r>
      <w:r w:rsidR="1EAFCE69" w:rsidRPr="3EB0D82A">
        <w:rPr>
          <w:rFonts w:cs="Arial"/>
        </w:rPr>
        <w:t xml:space="preserve"> shared between</w:t>
      </w:r>
      <w:r w:rsidR="04F7B30A" w:rsidRPr="3EB0D82A">
        <w:rPr>
          <w:rFonts w:cs="Arial"/>
        </w:rPr>
        <w:t xml:space="preserve"> the local authority </w:t>
      </w:r>
      <w:r w:rsidR="00FC3CE4">
        <w:rPr>
          <w:rFonts w:cs="Arial"/>
        </w:rPr>
        <w:t xml:space="preserve">(£270,000) </w:t>
      </w:r>
      <w:r w:rsidR="04F7B30A" w:rsidRPr="3EB0D82A">
        <w:rPr>
          <w:rFonts w:cs="Arial"/>
        </w:rPr>
        <w:t xml:space="preserve">and </w:t>
      </w:r>
      <w:r w:rsidR="1EAFCE69" w:rsidRPr="3EB0D82A">
        <w:rPr>
          <w:rFonts w:cs="Arial"/>
        </w:rPr>
        <w:t xml:space="preserve">NHS NW London </w:t>
      </w:r>
      <w:r w:rsidR="04F7B30A" w:rsidRPr="3EB0D82A">
        <w:rPr>
          <w:rFonts w:cs="Arial"/>
        </w:rPr>
        <w:t>ICB</w:t>
      </w:r>
      <w:r w:rsidR="00FC3CE4">
        <w:rPr>
          <w:rFonts w:cs="Arial"/>
        </w:rPr>
        <w:t>, (</w:t>
      </w:r>
      <w:r w:rsidR="00FC3CE4">
        <w:t>£280,000).</w:t>
      </w:r>
    </w:p>
    <w:p w14:paraId="0F7C8827" w14:textId="472EADBE" w:rsidR="009E6606" w:rsidRDefault="009E6606" w:rsidP="009E6606">
      <w:pPr>
        <w:rPr>
          <w:rFonts w:cs="Arial"/>
          <w:szCs w:val="24"/>
        </w:rPr>
      </w:pPr>
    </w:p>
    <w:p w14:paraId="60EA4C07" w14:textId="77777777" w:rsidR="00435EFF" w:rsidRDefault="00435EFF" w:rsidP="008504E7">
      <w:pPr>
        <w:rPr>
          <w:b/>
          <w:bCs/>
          <w:sz w:val="28"/>
          <w:szCs w:val="28"/>
        </w:rPr>
      </w:pPr>
    </w:p>
    <w:p w14:paraId="23FF3024" w14:textId="1D304C42" w:rsidR="009E6606" w:rsidRPr="008504E7" w:rsidRDefault="009E6606" w:rsidP="008504E7">
      <w:pPr>
        <w:rPr>
          <w:b/>
          <w:bCs/>
          <w:sz w:val="28"/>
          <w:szCs w:val="28"/>
        </w:rPr>
      </w:pPr>
      <w:r w:rsidRPr="008504E7">
        <w:rPr>
          <w:b/>
          <w:bCs/>
          <w:sz w:val="28"/>
          <w:szCs w:val="28"/>
        </w:rPr>
        <w:lastRenderedPageBreak/>
        <w:t>Why a change is needed</w:t>
      </w:r>
    </w:p>
    <w:p w14:paraId="1E10CF6F" w14:textId="77777777" w:rsidR="008504E7" w:rsidRPr="009A2C72" w:rsidRDefault="008504E7" w:rsidP="008504E7">
      <w:pPr>
        <w:rPr>
          <w:sz w:val="28"/>
          <w:szCs w:val="28"/>
        </w:rPr>
      </w:pPr>
    </w:p>
    <w:p w14:paraId="39B78CD1" w14:textId="7D1E3741" w:rsidR="00FE544D" w:rsidRDefault="4EE80D62" w:rsidP="3EB0D82A">
      <w:pPr>
        <w:pStyle w:val="ListParagraph"/>
        <w:numPr>
          <w:ilvl w:val="0"/>
          <w:numId w:val="4"/>
        </w:numPr>
        <w:rPr>
          <w:rFonts w:cs="Arial"/>
        </w:rPr>
      </w:pPr>
      <w:r w:rsidRPr="3EB0D82A">
        <w:rPr>
          <w:rFonts w:cs="Arial"/>
        </w:rPr>
        <w:t xml:space="preserve">As the service </w:t>
      </w:r>
      <w:r w:rsidR="3226333B" w:rsidRPr="3EB0D82A">
        <w:rPr>
          <w:rFonts w:cs="Arial"/>
        </w:rPr>
        <w:t>contract period</w:t>
      </w:r>
      <w:r w:rsidRPr="3EB0D82A">
        <w:rPr>
          <w:rFonts w:cs="Arial"/>
        </w:rPr>
        <w:t xml:space="preserve"> end</w:t>
      </w:r>
      <w:r w:rsidR="6DF707EC" w:rsidRPr="3EB0D82A">
        <w:rPr>
          <w:rFonts w:cs="Arial"/>
        </w:rPr>
        <w:t>s</w:t>
      </w:r>
      <w:r w:rsidRPr="3EB0D82A">
        <w:rPr>
          <w:rFonts w:cs="Arial"/>
        </w:rPr>
        <w:t xml:space="preserve">, </w:t>
      </w:r>
      <w:r w:rsidR="4D247890" w:rsidRPr="3EB0D82A">
        <w:rPr>
          <w:rFonts w:cs="Arial"/>
        </w:rPr>
        <w:t xml:space="preserve">there is the </w:t>
      </w:r>
      <w:r w:rsidR="257040F1" w:rsidRPr="3EB0D82A">
        <w:rPr>
          <w:rFonts w:cs="Arial"/>
        </w:rPr>
        <w:t xml:space="preserve">opportunity </w:t>
      </w:r>
      <w:r w:rsidR="57E64885" w:rsidRPr="3EB0D82A">
        <w:rPr>
          <w:rFonts w:cs="Arial"/>
        </w:rPr>
        <w:t xml:space="preserve">to </w:t>
      </w:r>
      <w:r w:rsidR="293E3639" w:rsidRPr="3EB0D82A">
        <w:rPr>
          <w:rFonts w:cs="Arial"/>
        </w:rPr>
        <w:t xml:space="preserve">review </w:t>
      </w:r>
      <w:r w:rsidR="38439666" w:rsidRPr="3EB0D82A">
        <w:rPr>
          <w:rFonts w:cs="Arial"/>
        </w:rPr>
        <w:t xml:space="preserve">the outcomes and </w:t>
      </w:r>
      <w:r w:rsidR="42C0FD4C" w:rsidRPr="3EB0D82A">
        <w:rPr>
          <w:rFonts w:cs="Arial"/>
        </w:rPr>
        <w:t xml:space="preserve">asses the model that was designed in 2016.  </w:t>
      </w:r>
      <w:r w:rsidR="640276E8" w:rsidRPr="3EB0D82A">
        <w:rPr>
          <w:rFonts w:cs="Arial"/>
        </w:rPr>
        <w:t xml:space="preserve">Since the </w:t>
      </w:r>
      <w:r w:rsidR="3653EC37" w:rsidRPr="3EB0D82A">
        <w:rPr>
          <w:rFonts w:cs="Arial"/>
        </w:rPr>
        <w:t xml:space="preserve">service commenced there have been </w:t>
      </w:r>
      <w:proofErr w:type="gramStart"/>
      <w:r w:rsidR="3653EC37" w:rsidRPr="3EB0D82A">
        <w:rPr>
          <w:rFonts w:cs="Arial"/>
        </w:rPr>
        <w:t>a number of</w:t>
      </w:r>
      <w:proofErr w:type="gramEnd"/>
      <w:r w:rsidR="3653EC37" w:rsidRPr="3EB0D82A">
        <w:rPr>
          <w:rFonts w:cs="Arial"/>
        </w:rPr>
        <w:t xml:space="preserve"> other </w:t>
      </w:r>
      <w:r w:rsidR="5600FA2A" w:rsidRPr="3EB0D82A">
        <w:rPr>
          <w:rFonts w:cs="Arial"/>
        </w:rPr>
        <w:t>initiatives</w:t>
      </w:r>
      <w:r w:rsidR="5E87E527" w:rsidRPr="3EB0D82A">
        <w:rPr>
          <w:rFonts w:cs="Arial"/>
        </w:rPr>
        <w:t xml:space="preserve"> to support </w:t>
      </w:r>
      <w:r w:rsidR="5600FA2A" w:rsidRPr="3EB0D82A">
        <w:rPr>
          <w:rFonts w:cs="Arial"/>
        </w:rPr>
        <w:t>children</w:t>
      </w:r>
      <w:r w:rsidR="5E87E527" w:rsidRPr="3EB0D82A">
        <w:rPr>
          <w:rFonts w:cs="Arial"/>
        </w:rPr>
        <w:t xml:space="preserve"> and young people’s mental health and wellbeing</w:t>
      </w:r>
      <w:r w:rsidR="1AFC6CA0" w:rsidRPr="3EB0D82A">
        <w:rPr>
          <w:rFonts w:cs="Arial"/>
        </w:rPr>
        <w:t xml:space="preserve">. </w:t>
      </w:r>
      <w:r w:rsidR="2629547E" w:rsidRPr="3EB0D82A">
        <w:rPr>
          <w:rFonts w:cs="Arial"/>
        </w:rPr>
        <w:t xml:space="preserve">These include both NHS, Local </w:t>
      </w:r>
      <w:proofErr w:type="gramStart"/>
      <w:r w:rsidR="2629547E" w:rsidRPr="3EB0D82A">
        <w:rPr>
          <w:rFonts w:cs="Arial"/>
        </w:rPr>
        <w:t>Authority</w:t>
      </w:r>
      <w:proofErr w:type="gramEnd"/>
      <w:r w:rsidR="2629547E" w:rsidRPr="3EB0D82A">
        <w:rPr>
          <w:rFonts w:cs="Arial"/>
        </w:rPr>
        <w:t xml:space="preserve"> and community/voluntary sector services for example mental health support teams, </w:t>
      </w:r>
      <w:r w:rsidR="3A290D1E" w:rsidRPr="3EB0D82A">
        <w:rPr>
          <w:rFonts w:cs="Arial"/>
        </w:rPr>
        <w:t xml:space="preserve">16-25 </w:t>
      </w:r>
      <w:r w:rsidR="2629547E" w:rsidRPr="3EB0D82A">
        <w:rPr>
          <w:rFonts w:cs="Arial"/>
        </w:rPr>
        <w:t>young adult offer and social workers in school initiative</w:t>
      </w:r>
      <w:r w:rsidR="3A290D1E" w:rsidRPr="3EB0D82A">
        <w:rPr>
          <w:rFonts w:cs="Arial"/>
        </w:rPr>
        <w:t>.</w:t>
      </w:r>
      <w:r w:rsidR="2629547E" w:rsidRPr="3EB0D82A">
        <w:rPr>
          <w:rFonts w:cs="Arial"/>
        </w:rPr>
        <w:t xml:space="preserve"> </w:t>
      </w:r>
    </w:p>
    <w:p w14:paraId="112BE277" w14:textId="77777777" w:rsidR="00252DDD" w:rsidRPr="00252DDD" w:rsidRDefault="00252DDD" w:rsidP="00252DDD">
      <w:pPr>
        <w:pStyle w:val="ListParagraph"/>
        <w:rPr>
          <w:rFonts w:cs="Arial"/>
          <w:szCs w:val="24"/>
        </w:rPr>
      </w:pPr>
    </w:p>
    <w:p w14:paraId="69CBC620" w14:textId="10255E57" w:rsidR="007B3B58" w:rsidRPr="007B3B58" w:rsidRDefault="00FE544D" w:rsidP="00DA3DFB">
      <w:pPr>
        <w:pStyle w:val="ListParagraph"/>
        <w:numPr>
          <w:ilvl w:val="0"/>
          <w:numId w:val="4"/>
        </w:numPr>
        <w:spacing w:after="160" w:line="259" w:lineRule="auto"/>
        <w:contextualSpacing/>
        <w:rPr>
          <w:rFonts w:cs="Arial"/>
          <w:color w:val="FF0000"/>
        </w:rPr>
      </w:pPr>
      <w:r w:rsidRPr="3EB0D82A">
        <w:rPr>
          <w:rFonts w:cs="Arial"/>
        </w:rPr>
        <w:t xml:space="preserve">In addition, </w:t>
      </w:r>
      <w:r w:rsidR="00DA3DFB" w:rsidRPr="3EB0D82A">
        <w:rPr>
          <w:rFonts w:cs="Arial"/>
        </w:rPr>
        <w:t xml:space="preserve">there are also post covid emerging needs which need to be considered. Undertaking a new service redesign at this time will be in the context of current services and demand ensuring that there is a holistic approach to the offer in Harrow.  </w:t>
      </w:r>
      <w:r w:rsidR="00DA3DFB" w:rsidRPr="3EB0D82A">
        <w:rPr>
          <w:rFonts w:eastAsia="MS Mincho" w:cs="Arial"/>
          <w:lang w:eastAsia="ja-JP"/>
        </w:rPr>
        <w:t xml:space="preserve">It is acknowledged </w:t>
      </w:r>
      <w:r w:rsidR="7C88E96C" w:rsidRPr="3EB0D82A">
        <w:rPr>
          <w:rFonts w:eastAsia="MS Mincho" w:cs="Arial"/>
          <w:lang w:eastAsia="ja-JP"/>
        </w:rPr>
        <w:t>this</w:t>
      </w:r>
      <w:r w:rsidR="00DA3DFB" w:rsidRPr="3EB0D82A">
        <w:rPr>
          <w:rFonts w:eastAsia="MS Mincho" w:cs="Arial"/>
          <w:lang w:eastAsia="ja-JP"/>
        </w:rPr>
        <w:t xml:space="preserve"> does not capture the full complexity of need for </w:t>
      </w:r>
      <w:r w:rsidR="005F06BD" w:rsidRPr="3EB0D82A">
        <w:rPr>
          <w:rFonts w:eastAsia="MS Mincho" w:cs="Arial"/>
          <w:lang w:eastAsia="ja-JP"/>
        </w:rPr>
        <w:t>children/young people</w:t>
      </w:r>
      <w:r w:rsidR="00DA3DFB" w:rsidRPr="3EB0D82A">
        <w:rPr>
          <w:rFonts w:eastAsia="MS Mincho" w:cs="Arial"/>
          <w:lang w:eastAsia="ja-JP"/>
        </w:rPr>
        <w:t xml:space="preserve"> with mental health difficulties as detailed by Future in Mind. </w:t>
      </w:r>
    </w:p>
    <w:p w14:paraId="497CA406" w14:textId="77777777" w:rsidR="007B3B58" w:rsidRPr="007B3B58" w:rsidRDefault="007B3B58" w:rsidP="007B3B58">
      <w:pPr>
        <w:pStyle w:val="ListParagraph"/>
        <w:rPr>
          <w:rFonts w:eastAsia="MS Mincho" w:cs="Arial"/>
          <w:color w:val="FF0000"/>
          <w:szCs w:val="24"/>
          <w:lang w:eastAsia="ja-JP"/>
        </w:rPr>
      </w:pPr>
    </w:p>
    <w:p w14:paraId="0EAF5D0A" w14:textId="7FA84AD5" w:rsidR="00DA3DFB" w:rsidRPr="007B3B58" w:rsidRDefault="00DA3DFB" w:rsidP="00DA3DFB">
      <w:pPr>
        <w:pStyle w:val="ListParagraph"/>
        <w:numPr>
          <w:ilvl w:val="0"/>
          <w:numId w:val="4"/>
        </w:numPr>
        <w:spacing w:after="160" w:line="259" w:lineRule="auto"/>
        <w:contextualSpacing/>
        <w:rPr>
          <w:rFonts w:cs="Arial"/>
        </w:rPr>
      </w:pPr>
      <w:r w:rsidRPr="3EB0D82A">
        <w:rPr>
          <w:rFonts w:eastAsia="MS Mincho" w:cs="Arial"/>
          <w:lang w:eastAsia="ja-JP"/>
        </w:rPr>
        <w:t>As children and young people’s emotional wellbeing and mental health affect all aspects of their lives, no one service alone will be able to meet their needs</w:t>
      </w:r>
      <w:r w:rsidRPr="3EB0D82A">
        <w:rPr>
          <w:rFonts w:cs="Arial"/>
        </w:rPr>
        <w:t xml:space="preserve">. The procurement proposed will be part of </w:t>
      </w:r>
      <w:r w:rsidR="6F970541" w:rsidRPr="3EB0D82A">
        <w:rPr>
          <w:rFonts w:cs="Arial"/>
        </w:rPr>
        <w:t>the l</w:t>
      </w:r>
      <w:r w:rsidRPr="3EB0D82A">
        <w:rPr>
          <w:rFonts w:cs="Arial"/>
        </w:rPr>
        <w:t>ocal integration of children and young people’s pathways, and in line with the development of an integrated family hub model.</w:t>
      </w:r>
    </w:p>
    <w:p w14:paraId="6C91D6BA" w14:textId="77777777" w:rsidR="002379E8" w:rsidRPr="001C1041" w:rsidRDefault="002379E8" w:rsidP="002379E8">
      <w:pPr>
        <w:pStyle w:val="ListParagraph"/>
        <w:rPr>
          <w:rFonts w:cs="Arial"/>
          <w:szCs w:val="24"/>
        </w:rPr>
      </w:pPr>
    </w:p>
    <w:p w14:paraId="0CD70E45" w14:textId="77777777" w:rsidR="002B2048" w:rsidRPr="002B2048" w:rsidRDefault="55309F94" w:rsidP="002B2048">
      <w:pPr>
        <w:pStyle w:val="ListParagraph"/>
        <w:numPr>
          <w:ilvl w:val="0"/>
          <w:numId w:val="4"/>
        </w:numPr>
        <w:spacing w:after="160" w:line="259" w:lineRule="auto"/>
        <w:contextualSpacing/>
        <w:rPr>
          <w:rFonts w:cs="Arial"/>
        </w:rPr>
      </w:pPr>
      <w:r w:rsidRPr="3EB0D82A">
        <w:rPr>
          <w:rFonts w:cs="Arial"/>
        </w:rPr>
        <w:t xml:space="preserve">By working in partnership with the voluntary sector and wider partners, for example social care, schools’, </w:t>
      </w:r>
      <w:proofErr w:type="gramStart"/>
      <w:r w:rsidRPr="3EB0D82A">
        <w:rPr>
          <w:rFonts w:cs="Arial"/>
        </w:rPr>
        <w:t>GP’s</w:t>
      </w:r>
      <w:proofErr w:type="gramEnd"/>
      <w:r w:rsidRPr="3EB0D82A">
        <w:rPr>
          <w:rFonts w:cs="Arial"/>
        </w:rPr>
        <w:t xml:space="preserve"> and families’/carers, improving understanding and supporting mental health interventions with children and young people and improving outcomes. The new service offer will address inequalities, including focusing on areas of high deprivation or low rates of access into traditional healthcare systems. </w:t>
      </w:r>
    </w:p>
    <w:p w14:paraId="7FEE1EFB" w14:textId="77777777" w:rsidR="00587FFA" w:rsidRPr="00587FFA" w:rsidRDefault="00587FFA" w:rsidP="00587FFA">
      <w:pPr>
        <w:pStyle w:val="ListParagraph"/>
        <w:rPr>
          <w:rFonts w:cs="Arial"/>
          <w:szCs w:val="24"/>
        </w:rPr>
      </w:pPr>
    </w:p>
    <w:p w14:paraId="207F3911" w14:textId="484AB95E" w:rsidR="00D2731B" w:rsidRPr="00D2731B" w:rsidRDefault="3D7E0D29" w:rsidP="00266D4F">
      <w:pPr>
        <w:pStyle w:val="ListParagraph"/>
        <w:numPr>
          <w:ilvl w:val="0"/>
          <w:numId w:val="4"/>
        </w:numPr>
        <w:rPr>
          <w:rFonts w:cs="Arial"/>
          <w:szCs w:val="24"/>
        </w:rPr>
      </w:pPr>
      <w:r w:rsidRPr="3EB0D82A">
        <w:rPr>
          <w:rFonts w:cs="Arial"/>
        </w:rPr>
        <w:t xml:space="preserve">The development of a new service specification will be aligned to the Thrive framework, </w:t>
      </w:r>
      <w:r w:rsidRPr="00D04ED6">
        <w:rPr>
          <w:rFonts w:cs="Arial"/>
        </w:rPr>
        <w:t>which is an integrated, person centred and needs led approach to delivering mental health services</w:t>
      </w:r>
      <w:r w:rsidR="00D2731B">
        <w:rPr>
          <w:rFonts w:cs="Arial"/>
        </w:rPr>
        <w:t>. The framework w</w:t>
      </w:r>
      <w:r w:rsidRPr="3EB0D82A">
        <w:rPr>
          <w:rFonts w:cs="Arial"/>
        </w:rPr>
        <w:t xml:space="preserve">ill focus on the “Getting Help” and “Getting More Help” quadrants. </w:t>
      </w:r>
    </w:p>
    <w:p w14:paraId="4BBD0968" w14:textId="77777777" w:rsidR="00D2731B" w:rsidRPr="00D2731B" w:rsidRDefault="00D2731B" w:rsidP="00D2731B">
      <w:pPr>
        <w:pStyle w:val="ListParagraph"/>
        <w:rPr>
          <w:rFonts w:cs="Arial"/>
        </w:rPr>
      </w:pPr>
    </w:p>
    <w:p w14:paraId="7FA877B2" w14:textId="00CFED70" w:rsidR="00D2731B" w:rsidRDefault="00D2731B" w:rsidP="00D2731B">
      <w:pPr>
        <w:pStyle w:val="ListParagraph"/>
        <w:numPr>
          <w:ilvl w:val="0"/>
          <w:numId w:val="4"/>
        </w:numPr>
        <w:rPr>
          <w:rFonts w:cs="Arial"/>
          <w:szCs w:val="24"/>
        </w:rPr>
      </w:pPr>
      <w:r w:rsidRPr="00D2731B">
        <w:rPr>
          <w:rFonts w:cs="Arial"/>
          <w:szCs w:val="24"/>
        </w:rPr>
        <w:t xml:space="preserve">Getting Help -This grouping comprises those children, young people and families who would benefit from focused, evidence-based help and support, with clear aims, and criteria for assessing whether these aims have been achieved. The professional may not necessarily be a trained mental health </w:t>
      </w:r>
      <w:r w:rsidR="00435EFF" w:rsidRPr="00D2731B">
        <w:rPr>
          <w:rFonts w:cs="Arial"/>
          <w:szCs w:val="24"/>
        </w:rPr>
        <w:t>provider but</w:t>
      </w:r>
      <w:r w:rsidRPr="00D2731B">
        <w:rPr>
          <w:rFonts w:cs="Arial"/>
          <w:szCs w:val="24"/>
        </w:rPr>
        <w:t xml:space="preserve"> may be a range of people who can provide targeted, outcomes-focused help to address the specific mental health issue.</w:t>
      </w:r>
    </w:p>
    <w:p w14:paraId="7CF485A3" w14:textId="77777777" w:rsidR="00D2731B" w:rsidRPr="00D2731B" w:rsidRDefault="00D2731B" w:rsidP="00D2731B">
      <w:pPr>
        <w:rPr>
          <w:rFonts w:cs="Arial"/>
          <w:szCs w:val="24"/>
        </w:rPr>
      </w:pPr>
    </w:p>
    <w:p w14:paraId="7D04D6EE" w14:textId="4A5A813D" w:rsidR="00D2731B" w:rsidRDefault="00D2731B" w:rsidP="00D2731B">
      <w:pPr>
        <w:pStyle w:val="ListParagraph"/>
        <w:numPr>
          <w:ilvl w:val="0"/>
          <w:numId w:val="4"/>
        </w:numPr>
        <w:rPr>
          <w:rFonts w:cs="Arial"/>
          <w:szCs w:val="24"/>
        </w:rPr>
      </w:pPr>
      <w:r w:rsidRPr="00D2731B">
        <w:rPr>
          <w:rFonts w:cs="Arial"/>
          <w:szCs w:val="24"/>
        </w:rPr>
        <w:t xml:space="preserve">Getting More Help – include those who need more extensive and specialised goals-based help. This grouping also comprises those children, young people and families who would benefit from focused, </w:t>
      </w:r>
      <w:r w:rsidR="00435EFF" w:rsidRPr="00D2731B">
        <w:rPr>
          <w:rFonts w:cs="Arial"/>
          <w:szCs w:val="24"/>
        </w:rPr>
        <w:t>evidence-based</w:t>
      </w:r>
      <w:r w:rsidRPr="00D2731B">
        <w:rPr>
          <w:rFonts w:cs="Arial"/>
          <w:szCs w:val="24"/>
        </w:rPr>
        <w:t xml:space="preserve"> interventions, with clear aims, and criteria for assessing whether these aims have been achieved. In this service this would be for a small number of children for example those children looked after or those with ASD. </w:t>
      </w:r>
    </w:p>
    <w:p w14:paraId="6D3DAF67" w14:textId="77777777" w:rsidR="00E56A93" w:rsidRPr="00E56A93" w:rsidRDefault="00E56A93" w:rsidP="00E56A93">
      <w:pPr>
        <w:pStyle w:val="ListParagraph"/>
        <w:rPr>
          <w:rFonts w:cs="Arial"/>
          <w:szCs w:val="24"/>
        </w:rPr>
      </w:pPr>
    </w:p>
    <w:p w14:paraId="1D3E3276" w14:textId="72AB4A04" w:rsidR="00266D4F" w:rsidRDefault="00D2731B" w:rsidP="00266D4F">
      <w:pPr>
        <w:pStyle w:val="ListParagraph"/>
        <w:numPr>
          <w:ilvl w:val="0"/>
          <w:numId w:val="4"/>
        </w:numPr>
        <w:rPr>
          <w:rFonts w:cs="Arial"/>
          <w:szCs w:val="24"/>
        </w:rPr>
      </w:pPr>
      <w:r>
        <w:rPr>
          <w:rFonts w:cs="Arial"/>
        </w:rPr>
        <w:t>In summary, s</w:t>
      </w:r>
      <w:r w:rsidR="3D7E0D29" w:rsidRPr="3EB0D82A">
        <w:rPr>
          <w:rFonts w:cs="Arial"/>
        </w:rPr>
        <w:t xml:space="preserve">ome of the key principles </w:t>
      </w:r>
      <w:r w:rsidR="00E56A93">
        <w:rPr>
          <w:rFonts w:cs="Arial"/>
        </w:rPr>
        <w:t xml:space="preserve">of the Thrive framework </w:t>
      </w:r>
      <w:r w:rsidR="3D7E0D29" w:rsidRPr="3EB0D82A">
        <w:rPr>
          <w:rFonts w:cs="Arial"/>
        </w:rPr>
        <w:t xml:space="preserve">are: </w:t>
      </w:r>
    </w:p>
    <w:p w14:paraId="25257369" w14:textId="77777777" w:rsidR="003C68AC" w:rsidRPr="003C68AC" w:rsidRDefault="003C68AC" w:rsidP="003C68AC">
      <w:pPr>
        <w:rPr>
          <w:rFonts w:cs="Arial"/>
          <w:szCs w:val="24"/>
        </w:rPr>
      </w:pPr>
    </w:p>
    <w:p w14:paraId="511F18DF" w14:textId="77777777" w:rsidR="00125F66" w:rsidRPr="00125F66" w:rsidRDefault="00125F66" w:rsidP="00125F66">
      <w:pPr>
        <w:pStyle w:val="ListParagraph"/>
        <w:numPr>
          <w:ilvl w:val="0"/>
          <w:numId w:val="11"/>
        </w:numPr>
        <w:rPr>
          <w:rFonts w:cs="Arial"/>
          <w:szCs w:val="24"/>
        </w:rPr>
      </w:pPr>
      <w:r w:rsidRPr="00125F66">
        <w:rPr>
          <w:rFonts w:cs="Arial"/>
          <w:szCs w:val="24"/>
        </w:rPr>
        <w:t>Needs-led</w:t>
      </w:r>
    </w:p>
    <w:p w14:paraId="3109F117" w14:textId="77777777" w:rsidR="00125F66" w:rsidRPr="00125F66" w:rsidRDefault="00125F66" w:rsidP="00125F66">
      <w:pPr>
        <w:pStyle w:val="ListParagraph"/>
        <w:numPr>
          <w:ilvl w:val="0"/>
          <w:numId w:val="11"/>
        </w:numPr>
        <w:rPr>
          <w:rFonts w:cs="Arial"/>
          <w:szCs w:val="24"/>
        </w:rPr>
      </w:pPr>
      <w:r w:rsidRPr="00125F66">
        <w:rPr>
          <w:rFonts w:cs="Arial"/>
          <w:szCs w:val="24"/>
        </w:rPr>
        <w:t>Outcome-focused</w:t>
      </w:r>
    </w:p>
    <w:p w14:paraId="6572BD2B" w14:textId="77777777" w:rsidR="00125F66" w:rsidRPr="00125F66" w:rsidRDefault="00125F66" w:rsidP="00125F66">
      <w:pPr>
        <w:pStyle w:val="ListParagraph"/>
        <w:numPr>
          <w:ilvl w:val="0"/>
          <w:numId w:val="11"/>
        </w:numPr>
        <w:rPr>
          <w:rFonts w:cs="Arial"/>
          <w:szCs w:val="24"/>
        </w:rPr>
      </w:pPr>
      <w:r w:rsidRPr="00125F66">
        <w:rPr>
          <w:rFonts w:cs="Arial"/>
          <w:szCs w:val="24"/>
        </w:rPr>
        <w:t>Shared decision making</w:t>
      </w:r>
    </w:p>
    <w:p w14:paraId="7DD01533" w14:textId="77777777" w:rsidR="00125F66" w:rsidRPr="00125F66" w:rsidRDefault="00125F66" w:rsidP="00125F66">
      <w:pPr>
        <w:pStyle w:val="ListParagraph"/>
        <w:numPr>
          <w:ilvl w:val="0"/>
          <w:numId w:val="11"/>
        </w:numPr>
        <w:rPr>
          <w:rFonts w:cs="Arial"/>
          <w:szCs w:val="24"/>
        </w:rPr>
      </w:pPr>
      <w:r w:rsidRPr="00125F66">
        <w:rPr>
          <w:rFonts w:cs="Arial"/>
          <w:szCs w:val="24"/>
        </w:rPr>
        <w:t xml:space="preserve">Proactive prevention and promotion </w:t>
      </w:r>
    </w:p>
    <w:p w14:paraId="32CA4C06" w14:textId="77777777" w:rsidR="00125F66" w:rsidRPr="00125F66" w:rsidRDefault="00125F66" w:rsidP="00125F66">
      <w:pPr>
        <w:pStyle w:val="ListParagraph"/>
        <w:numPr>
          <w:ilvl w:val="0"/>
          <w:numId w:val="11"/>
        </w:numPr>
        <w:rPr>
          <w:rFonts w:cs="Arial"/>
          <w:szCs w:val="24"/>
        </w:rPr>
      </w:pPr>
      <w:r w:rsidRPr="00125F66">
        <w:rPr>
          <w:rFonts w:cs="Arial"/>
          <w:szCs w:val="24"/>
        </w:rPr>
        <w:t xml:space="preserve">Partnership working </w:t>
      </w:r>
    </w:p>
    <w:p w14:paraId="15D35DD2" w14:textId="291E4A77" w:rsidR="00125F66" w:rsidRDefault="00125F66" w:rsidP="00125F66">
      <w:pPr>
        <w:pStyle w:val="ListParagraph"/>
        <w:numPr>
          <w:ilvl w:val="0"/>
          <w:numId w:val="11"/>
        </w:numPr>
        <w:rPr>
          <w:rFonts w:cs="Arial"/>
          <w:szCs w:val="24"/>
        </w:rPr>
      </w:pPr>
      <w:r w:rsidRPr="00125F66">
        <w:rPr>
          <w:rFonts w:cs="Arial"/>
          <w:szCs w:val="24"/>
        </w:rPr>
        <w:t>No “wrong door”</w:t>
      </w:r>
    </w:p>
    <w:p w14:paraId="0A1B8456" w14:textId="77777777" w:rsidR="00675AA7" w:rsidRPr="00125F66" w:rsidRDefault="00675AA7" w:rsidP="00675AA7">
      <w:pPr>
        <w:pStyle w:val="ListParagraph"/>
        <w:ind w:left="1440"/>
        <w:rPr>
          <w:rFonts w:cs="Arial"/>
          <w:szCs w:val="24"/>
        </w:rPr>
      </w:pPr>
    </w:p>
    <w:p w14:paraId="65C492B8" w14:textId="60B850FD" w:rsidR="00C422C9" w:rsidRDefault="246A3840" w:rsidP="00C422C9">
      <w:pPr>
        <w:pStyle w:val="ListParagraph"/>
        <w:numPr>
          <w:ilvl w:val="0"/>
          <w:numId w:val="4"/>
        </w:numPr>
        <w:spacing w:after="160" w:line="259" w:lineRule="auto"/>
        <w:contextualSpacing/>
        <w:rPr>
          <w:rFonts w:cs="Arial"/>
        </w:rPr>
      </w:pPr>
      <w:r w:rsidRPr="008D1ECA">
        <w:rPr>
          <w:rFonts w:cs="Arial"/>
        </w:rPr>
        <w:t>The specification will be developed and informed by the Hay Harrow 2022 Mental Health review (2022), Harrow Public Health’s Children and Young People’s Emotional Wellbeing and Mental Health Needs Assessment (2020) and the People and Young Peoples Integrated Partnership priority to identify and develop services that improve the emotional wellbeing and mental health of children and young people.</w:t>
      </w:r>
      <w:r w:rsidRPr="3EB0D82A">
        <w:rPr>
          <w:rFonts w:asciiTheme="minorHAnsi" w:eastAsiaTheme="minorEastAsia" w:hAnsi="Calibri" w:cstheme="minorBidi"/>
          <w:kern w:val="24"/>
        </w:rPr>
        <w:t xml:space="preserve"> </w:t>
      </w:r>
      <w:r w:rsidRPr="008D1ECA">
        <w:rPr>
          <w:rFonts w:cs="Arial"/>
        </w:rPr>
        <w:t xml:space="preserve"> This will </w:t>
      </w:r>
      <w:r w:rsidR="65573DAF" w:rsidRPr="008D1ECA">
        <w:rPr>
          <w:rFonts w:cs="Arial"/>
        </w:rPr>
        <w:t>build</w:t>
      </w:r>
      <w:r w:rsidRPr="008D1ECA">
        <w:rPr>
          <w:rFonts w:cs="Arial"/>
        </w:rPr>
        <w:t xml:space="preserve"> on the extensive engagement work carried out with children, young people, </w:t>
      </w:r>
      <w:proofErr w:type="gramStart"/>
      <w:r w:rsidRPr="008D1ECA">
        <w:rPr>
          <w:rFonts w:cs="Arial"/>
        </w:rPr>
        <w:t>parents</w:t>
      </w:r>
      <w:proofErr w:type="gramEnd"/>
      <w:r w:rsidRPr="008D1ECA">
        <w:rPr>
          <w:rFonts w:cs="Arial"/>
        </w:rPr>
        <w:t xml:space="preserve"> and professionals in 2016, that informed the original business case/specification for the service.</w:t>
      </w:r>
    </w:p>
    <w:p w14:paraId="2BAB4FE1" w14:textId="77777777" w:rsidR="005C2D38" w:rsidRDefault="005C2D38" w:rsidP="005C2D38">
      <w:pPr>
        <w:pStyle w:val="ListParagraph"/>
        <w:spacing w:after="160" w:line="259" w:lineRule="auto"/>
        <w:contextualSpacing/>
        <w:rPr>
          <w:rFonts w:cs="Arial"/>
        </w:rPr>
      </w:pPr>
    </w:p>
    <w:p w14:paraId="4A355E44" w14:textId="09B59987" w:rsidR="005C2D38" w:rsidRDefault="7B313357" w:rsidP="005C2D38">
      <w:pPr>
        <w:pStyle w:val="ListParagraph"/>
        <w:numPr>
          <w:ilvl w:val="0"/>
          <w:numId w:val="4"/>
        </w:numPr>
        <w:autoSpaceDE w:val="0"/>
        <w:autoSpaceDN w:val="0"/>
        <w:adjustRightInd w:val="0"/>
        <w:spacing w:after="160" w:line="259" w:lineRule="auto"/>
        <w:contextualSpacing/>
        <w:rPr>
          <w:rFonts w:cs="Arial"/>
        </w:rPr>
      </w:pPr>
      <w:r w:rsidRPr="3EB0D82A">
        <w:rPr>
          <w:rFonts w:cs="Arial"/>
        </w:rPr>
        <w:t xml:space="preserve">The new service will be informed by a sound evidence base and sources of data and analysis about </w:t>
      </w:r>
      <w:r w:rsidR="4C528883" w:rsidRPr="3EB0D82A">
        <w:rPr>
          <w:rFonts w:cs="Arial"/>
        </w:rPr>
        <w:t>the</w:t>
      </w:r>
      <w:r w:rsidRPr="3EB0D82A">
        <w:rPr>
          <w:rFonts w:cs="Arial"/>
        </w:rPr>
        <w:t xml:space="preserve"> local </w:t>
      </w:r>
      <w:r w:rsidR="00435EFF" w:rsidRPr="3EB0D82A">
        <w:rPr>
          <w:rFonts w:cs="Arial"/>
        </w:rPr>
        <w:t>partnerships’</w:t>
      </w:r>
      <w:r w:rsidRPr="3EB0D82A">
        <w:rPr>
          <w:rFonts w:cs="Arial"/>
        </w:rPr>
        <w:t xml:space="preserve"> arrangements for children, young </w:t>
      </w:r>
      <w:proofErr w:type="gramStart"/>
      <w:r w:rsidRPr="3EB0D82A">
        <w:rPr>
          <w:rFonts w:cs="Arial"/>
        </w:rPr>
        <w:t>people</w:t>
      </w:r>
      <w:proofErr w:type="gramEnd"/>
      <w:r w:rsidRPr="3EB0D82A">
        <w:rPr>
          <w:rFonts w:cs="Arial"/>
        </w:rPr>
        <w:t xml:space="preserve"> and families. It will be underpinned by a population health approach to tackle inequalities.</w:t>
      </w:r>
    </w:p>
    <w:p w14:paraId="12FA165E" w14:textId="77777777" w:rsidR="003D312A" w:rsidRPr="003D312A" w:rsidRDefault="003D312A" w:rsidP="003D312A">
      <w:pPr>
        <w:pStyle w:val="ListParagraph"/>
        <w:rPr>
          <w:rFonts w:cs="Arial"/>
        </w:rPr>
      </w:pPr>
    </w:p>
    <w:p w14:paraId="79F107FF" w14:textId="31C9F144" w:rsidR="00CA182C" w:rsidRPr="006D2FB8" w:rsidRDefault="46ABA115" w:rsidP="2BDFD774">
      <w:pPr>
        <w:pStyle w:val="ListParagraph"/>
        <w:numPr>
          <w:ilvl w:val="0"/>
          <w:numId w:val="4"/>
        </w:numPr>
        <w:rPr>
          <w:rFonts w:cs="Arial"/>
        </w:rPr>
      </w:pPr>
      <w:r>
        <w:t>This new proposed service will support those children and young people aged 0 to 18, or up to 25 with a Special Educational Need or Disability with emotional health and wellbeing needs, that do not meet the threshold for specialist mental health services.  In Harrow this covers approximately 3695 children and young people (Office for National Statistics mid-year population estimates for 2012).</w:t>
      </w:r>
    </w:p>
    <w:p w14:paraId="4C2ECE3A" w14:textId="77777777" w:rsidR="006D2FB8" w:rsidRPr="006D2FB8" w:rsidRDefault="006D2FB8" w:rsidP="006D2FB8">
      <w:pPr>
        <w:pStyle w:val="ListParagraph"/>
        <w:rPr>
          <w:rFonts w:cs="Arial"/>
        </w:rPr>
      </w:pPr>
    </w:p>
    <w:p w14:paraId="2E8C8DA7" w14:textId="0DA3515D" w:rsidR="00CA182C" w:rsidRPr="00726469" w:rsidRDefault="46ABA115" w:rsidP="2BDFD774">
      <w:pPr>
        <w:pStyle w:val="ListParagraph"/>
        <w:numPr>
          <w:ilvl w:val="0"/>
          <w:numId w:val="4"/>
        </w:numPr>
        <w:rPr>
          <w:rFonts w:cs="Arial"/>
        </w:rPr>
      </w:pPr>
      <w:r>
        <w:t>There is an additional need to ensure the new service specification meets corporate parenting responsibilities and prioritises the mental health needs of children looked after for both assessments and therapeutic support.</w:t>
      </w:r>
      <w:r w:rsidR="5C392ABF">
        <w:t xml:space="preserve"> </w:t>
      </w:r>
      <w:r>
        <w:t>The number of children looked after by Harrow Council has remained largely stable over time, at approximately 185 children at any given time.</w:t>
      </w:r>
    </w:p>
    <w:p w14:paraId="212323E6" w14:textId="77777777" w:rsidR="00726469" w:rsidRPr="00726469" w:rsidRDefault="00726469" w:rsidP="00726469">
      <w:pPr>
        <w:pStyle w:val="ListParagraph"/>
        <w:rPr>
          <w:rFonts w:cs="Arial"/>
        </w:rPr>
      </w:pPr>
    </w:p>
    <w:p w14:paraId="20F6E109" w14:textId="77777777" w:rsidR="006F2AA0" w:rsidRPr="006F2AA0" w:rsidRDefault="206D4D0C" w:rsidP="006F2AA0">
      <w:pPr>
        <w:pStyle w:val="ListParagraph"/>
        <w:numPr>
          <w:ilvl w:val="0"/>
          <w:numId w:val="4"/>
        </w:numPr>
      </w:pPr>
      <w:r>
        <w:t>Because of their experiences both before and during care, looked-after children are at much greater risk of poor mental health than their peers. </w:t>
      </w:r>
      <w:hyperlink r:id="rId13">
        <w:r>
          <w:t>Research</w:t>
        </w:r>
      </w:hyperlink>
      <w:r>
        <w:t> suggests that around 45% of looked-after children have a diagnosable mental health disorder, and up to 70%-80% have recognisable mental health concerns.</w:t>
      </w:r>
      <w:hyperlink r:id="rId14">
        <w:r w:rsidRPr="3EB0D82A">
          <w:rPr>
            <w:rStyle w:val="Hyperlink"/>
            <w:color w:val="auto"/>
          </w:rPr>
          <w:t>https://www.healthylondon.org/mental-health-services-for-looked-after-children-and-care-leavers-new-survey-results</w:t>
        </w:r>
      </w:hyperlink>
      <w:r>
        <w:t xml:space="preserve">   July 2020</w:t>
      </w:r>
    </w:p>
    <w:p w14:paraId="4C32737A" w14:textId="77777777" w:rsidR="006F2AA0" w:rsidRDefault="006F2AA0" w:rsidP="006F2AA0"/>
    <w:p w14:paraId="3666AA26" w14:textId="77777777" w:rsidR="00016D9B" w:rsidRPr="00016D9B" w:rsidRDefault="6897B3DA" w:rsidP="00016D9B">
      <w:pPr>
        <w:pStyle w:val="ListParagraph"/>
        <w:numPr>
          <w:ilvl w:val="0"/>
          <w:numId w:val="4"/>
        </w:numPr>
        <w:rPr>
          <w:i/>
        </w:rPr>
      </w:pPr>
      <w:r>
        <w:t xml:space="preserve">As a result of waiting time and high access thresholds smaller problems too often escalate to the point of crisis (children and young people’s mental health House of Commons Committee report 21/22). It </w:t>
      </w:r>
      <w:r>
        <w:lastRenderedPageBreak/>
        <w:t xml:space="preserve">has also been reported that prolonged waiting times to receive mental health services are common and may have negative consequences for example are more likely to refuse services if they face longer waiting times – </w:t>
      </w:r>
      <w:r w:rsidRPr="3EB0D82A">
        <w:rPr>
          <w:i/>
          <w:iCs/>
        </w:rPr>
        <w:t xml:space="preserve">(The Effect of Waiting Time on Youth Engagement to Evidence Based Treatments January 2013 </w:t>
      </w:r>
      <w:hyperlink r:id="rId15">
        <w:r w:rsidRPr="3EB0D82A">
          <w:rPr>
            <w:i/>
            <w:iCs/>
          </w:rPr>
          <w:t>Community Mental Health Journal</w:t>
        </w:r>
      </w:hyperlink>
      <w:r w:rsidRPr="3EB0D82A">
        <w:rPr>
          <w:i/>
          <w:iCs/>
        </w:rPr>
        <w:t> 50(2) January 2013 Community Mental Health Journal 50(2)</w:t>
      </w:r>
    </w:p>
    <w:p w14:paraId="192C3232" w14:textId="77777777" w:rsidR="00CA182C" w:rsidRPr="00CA182C" w:rsidRDefault="00CA182C" w:rsidP="00CA182C">
      <w:pPr>
        <w:pStyle w:val="ListParagraph"/>
        <w:rPr>
          <w:rFonts w:cs="Arial"/>
          <w:szCs w:val="24"/>
        </w:rPr>
      </w:pPr>
    </w:p>
    <w:p w14:paraId="50D08476" w14:textId="2E6D14B5" w:rsidR="0001538A" w:rsidRPr="00675AA7" w:rsidRDefault="46ABA115" w:rsidP="00675AA7">
      <w:pPr>
        <w:pStyle w:val="ListParagraph"/>
        <w:numPr>
          <w:ilvl w:val="0"/>
          <w:numId w:val="4"/>
        </w:numPr>
        <w:rPr>
          <w:rFonts w:cs="Arial"/>
          <w:szCs w:val="24"/>
        </w:rPr>
      </w:pPr>
      <w:r>
        <w:t>The service will include assessment</w:t>
      </w:r>
      <w:r w:rsidR="445DD708">
        <w:t xml:space="preserve"> </w:t>
      </w:r>
      <w:r>
        <w:t xml:space="preserve">and treatment through a range of short to medium term therapeutic interventions.  This new service will add value to existing provision through an enhanced referral route, enabling access for </w:t>
      </w:r>
      <w:r w:rsidR="1E09424E">
        <w:t xml:space="preserve">children with a social worker, other </w:t>
      </w:r>
      <w:r>
        <w:t xml:space="preserve">vulnerable young </w:t>
      </w:r>
      <w:proofErr w:type="gramStart"/>
      <w:r>
        <w:t>people</w:t>
      </w:r>
      <w:proofErr w:type="gramEnd"/>
      <w:r>
        <w:t xml:space="preserve"> and their families.</w:t>
      </w:r>
    </w:p>
    <w:p w14:paraId="1977CE2D" w14:textId="77777777" w:rsidR="001B6E2C" w:rsidRPr="001B6E2C" w:rsidRDefault="001B6E2C" w:rsidP="001B6E2C"/>
    <w:p w14:paraId="12B2B7E2" w14:textId="77777777" w:rsidR="00333FAA" w:rsidRPr="0004426F" w:rsidRDefault="00333FAA" w:rsidP="0054590F">
      <w:pPr>
        <w:pStyle w:val="Heading4"/>
        <w:tabs>
          <w:tab w:val="left" w:pos="3600"/>
        </w:tabs>
        <w:rPr>
          <w:szCs w:val="24"/>
        </w:rPr>
      </w:pPr>
      <w:r w:rsidRPr="0004426F">
        <w:rPr>
          <w:szCs w:val="24"/>
        </w:rPr>
        <w:t>Performance Issues</w:t>
      </w:r>
    </w:p>
    <w:p w14:paraId="0CDAFD1F" w14:textId="40FDDE73" w:rsidR="00714BEE" w:rsidRPr="00A57AF9" w:rsidRDefault="00714BEE" w:rsidP="001C7E35">
      <w:pPr>
        <w:tabs>
          <w:tab w:val="left" w:pos="7245"/>
        </w:tabs>
        <w:rPr>
          <w:i/>
        </w:rPr>
      </w:pPr>
    </w:p>
    <w:p w14:paraId="3A8481A3" w14:textId="0CCEF488" w:rsidR="00C13104" w:rsidRPr="008504E7" w:rsidRDefault="00C13104" w:rsidP="00C13104">
      <w:pPr>
        <w:pStyle w:val="ListParagraph"/>
        <w:numPr>
          <w:ilvl w:val="0"/>
          <w:numId w:val="4"/>
        </w:numPr>
        <w:rPr>
          <w:sz w:val="20"/>
        </w:rPr>
      </w:pPr>
      <w:r w:rsidRPr="008504E7">
        <w:t xml:space="preserve">Harrow Horizon received 754 referrals, of which 703 were accepted between April 2020-March 2021 which was during </w:t>
      </w:r>
      <w:r w:rsidR="00435EFF">
        <w:t>C</w:t>
      </w:r>
      <w:r w:rsidRPr="008504E7">
        <w:t xml:space="preserve">ovid. The impact of the pandemic is a key contributing factor. From April 2021- March 2022 </w:t>
      </w:r>
      <w:r w:rsidRPr="008504E7">
        <w:rPr>
          <w:color w:val="000000"/>
        </w:rPr>
        <w:t xml:space="preserve">Harrow Horizons received 987 referrals with 935 receiving an intervention. </w:t>
      </w:r>
      <w:r w:rsidR="00453413" w:rsidRPr="008504E7">
        <w:rPr>
          <w:color w:val="000000"/>
        </w:rPr>
        <w:t>This has impacted</w:t>
      </w:r>
      <w:r w:rsidR="00DE76D0" w:rsidRPr="008504E7">
        <w:rPr>
          <w:color w:val="000000"/>
        </w:rPr>
        <w:t xml:space="preserve"> on waiting times.</w:t>
      </w:r>
    </w:p>
    <w:p w14:paraId="3DD61387" w14:textId="58B80745" w:rsidR="000F1099" w:rsidRDefault="000F1099" w:rsidP="001F1BA2">
      <w:pPr>
        <w:rPr>
          <w:szCs w:val="24"/>
        </w:rPr>
      </w:pPr>
    </w:p>
    <w:p w14:paraId="0FE59B4A" w14:textId="0EAE026A" w:rsidR="00147FC4" w:rsidRPr="00D60844" w:rsidRDefault="3AB03987" w:rsidP="00C417B7">
      <w:pPr>
        <w:pStyle w:val="ListParagraph"/>
        <w:numPr>
          <w:ilvl w:val="0"/>
          <w:numId w:val="4"/>
        </w:numPr>
        <w:rPr>
          <w:szCs w:val="24"/>
        </w:rPr>
      </w:pPr>
      <w:r>
        <w:t xml:space="preserve">Referrers report </w:t>
      </w:r>
      <w:r w:rsidR="00292B74">
        <w:t xml:space="preserve">the long waiting times are impacting on </w:t>
      </w:r>
      <w:r>
        <w:t xml:space="preserve">children's </w:t>
      </w:r>
      <w:r w:rsidR="64BE724C">
        <w:t>m</w:t>
      </w:r>
      <w:r>
        <w:t xml:space="preserve">ental </w:t>
      </w:r>
      <w:r w:rsidR="64BE724C">
        <w:t>h</w:t>
      </w:r>
      <w:r>
        <w:t xml:space="preserve">ealth and </w:t>
      </w:r>
      <w:r w:rsidR="64BE724C">
        <w:t>e</w:t>
      </w:r>
      <w:r>
        <w:t xml:space="preserve">motional </w:t>
      </w:r>
      <w:r w:rsidR="64BE724C">
        <w:t>w</w:t>
      </w:r>
      <w:r>
        <w:t xml:space="preserve">ellbeing </w:t>
      </w:r>
      <w:r w:rsidR="64BE724C">
        <w:t>of s</w:t>
      </w:r>
      <w:r>
        <w:t xml:space="preserve">ome of </w:t>
      </w:r>
      <w:r w:rsidR="00256957">
        <w:t xml:space="preserve">the </w:t>
      </w:r>
      <w:r>
        <w:t>most vulnerable groups</w:t>
      </w:r>
      <w:r w:rsidR="6BCCFCFA">
        <w:t xml:space="preserve"> as they</w:t>
      </w:r>
      <w:r>
        <w:t xml:space="preserve"> </w:t>
      </w:r>
      <w:proofErr w:type="gramStart"/>
      <w:r>
        <w:t>have to</w:t>
      </w:r>
      <w:proofErr w:type="gramEnd"/>
      <w:r>
        <w:t xml:space="preserve"> wait to access support</w:t>
      </w:r>
      <w:r w:rsidR="6BCCFCFA">
        <w:t xml:space="preserve">.  </w:t>
      </w:r>
      <w:r w:rsidR="38924630">
        <w:t xml:space="preserve">Long waiting times can result in increase in </w:t>
      </w:r>
      <w:r w:rsidR="2855C07B">
        <w:t>severity</w:t>
      </w:r>
      <w:r w:rsidR="3E0D6449">
        <w:t xml:space="preserve"> of mental health presentations, as a result children end up in crisis. </w:t>
      </w:r>
      <w:r w:rsidR="007256AA">
        <w:t xml:space="preserve">Reduced waiting times will be a focus in the development of the new </w:t>
      </w:r>
      <w:r w:rsidR="00BE5110">
        <w:t>service</w:t>
      </w:r>
      <w:r w:rsidR="007256AA">
        <w:t>.</w:t>
      </w:r>
    </w:p>
    <w:p w14:paraId="33A55E36" w14:textId="77777777" w:rsidR="00D60844" w:rsidRPr="00D60844" w:rsidRDefault="00D60844" w:rsidP="00D60844">
      <w:pPr>
        <w:rPr>
          <w:szCs w:val="24"/>
        </w:rPr>
      </w:pPr>
    </w:p>
    <w:p w14:paraId="7B27DE8A" w14:textId="042047D8" w:rsidR="001F1BA2" w:rsidRPr="00933490" w:rsidRDefault="43B38B2F" w:rsidP="00D51D76">
      <w:pPr>
        <w:pStyle w:val="ListParagraph"/>
        <w:numPr>
          <w:ilvl w:val="0"/>
          <w:numId w:val="4"/>
        </w:numPr>
        <w:tabs>
          <w:tab w:val="left" w:pos="7245"/>
        </w:tabs>
        <w:rPr>
          <w:iCs/>
          <w:szCs w:val="24"/>
        </w:rPr>
      </w:pPr>
      <w:r>
        <w:t xml:space="preserve">The new service and performance indicators will be jointly monitored by the local authority and NHS </w:t>
      </w:r>
      <w:proofErr w:type="gramStart"/>
      <w:r>
        <w:t>North West</w:t>
      </w:r>
      <w:proofErr w:type="gramEnd"/>
      <w:r>
        <w:t xml:space="preserve"> London ICB.  </w:t>
      </w:r>
      <w:r w:rsidR="498D95AC">
        <w:t>The p</w:t>
      </w:r>
      <w:r w:rsidR="3D32D756">
        <w:t>erformance</w:t>
      </w:r>
      <w:r w:rsidR="498D95AC">
        <w:t xml:space="preserve"> and monitoring of outcomes will </w:t>
      </w:r>
      <w:r w:rsidR="00BF1058">
        <w:t xml:space="preserve">be reported </w:t>
      </w:r>
      <w:r w:rsidR="4E913D7A">
        <w:t>the Integrated Children and Young People’s Board</w:t>
      </w:r>
      <w:r w:rsidR="00BF1058">
        <w:t>.</w:t>
      </w:r>
      <w:r w:rsidR="4E913D7A">
        <w:t xml:space="preserve"> </w:t>
      </w:r>
      <w:r w:rsidR="3D32D756">
        <w:t xml:space="preserve"> </w:t>
      </w:r>
    </w:p>
    <w:p w14:paraId="5AE3C746" w14:textId="77777777" w:rsidR="00933490" w:rsidRPr="00933490" w:rsidRDefault="00933490" w:rsidP="00933490">
      <w:pPr>
        <w:pStyle w:val="ListParagraph"/>
        <w:rPr>
          <w:iCs/>
          <w:szCs w:val="24"/>
        </w:rPr>
      </w:pPr>
    </w:p>
    <w:p w14:paraId="6DD08A9E" w14:textId="5956E654" w:rsidR="00C46B25" w:rsidRPr="00BF7924" w:rsidRDefault="4110DE99" w:rsidP="00C46B25">
      <w:pPr>
        <w:pStyle w:val="ListParagraph"/>
        <w:numPr>
          <w:ilvl w:val="0"/>
          <w:numId w:val="4"/>
        </w:numPr>
        <w:rPr>
          <w:rFonts w:cs="Arial"/>
          <w:lang w:eastAsia="en-GB"/>
        </w:rPr>
      </w:pPr>
      <w:r w:rsidRPr="3EB0D82A">
        <w:rPr>
          <w:rFonts w:cs="Arial"/>
          <w:lang w:eastAsia="en-GB"/>
        </w:rPr>
        <w:t>A key performance indicator would</w:t>
      </w:r>
      <w:r w:rsidR="365B54B9" w:rsidRPr="3EB0D82A">
        <w:rPr>
          <w:rFonts w:cs="Arial"/>
          <w:lang w:eastAsia="en-GB"/>
        </w:rPr>
        <w:t xml:space="preserve"> include priority access for children looked after and child</w:t>
      </w:r>
      <w:r w:rsidR="5B94EAFF" w:rsidRPr="3EB0D82A">
        <w:rPr>
          <w:rFonts w:cs="Arial"/>
          <w:lang w:eastAsia="en-GB"/>
        </w:rPr>
        <w:t xml:space="preserve">ren with a social worker, to ensure this vulnerable group is triaged appropriately in referrals, </w:t>
      </w:r>
      <w:proofErr w:type="gramStart"/>
      <w:r w:rsidR="5B94EAFF" w:rsidRPr="3EB0D82A">
        <w:rPr>
          <w:rFonts w:cs="Arial"/>
          <w:lang w:eastAsia="en-GB"/>
        </w:rPr>
        <w:t>assessment</w:t>
      </w:r>
      <w:proofErr w:type="gramEnd"/>
      <w:r w:rsidR="5B94EAFF" w:rsidRPr="3EB0D82A">
        <w:rPr>
          <w:rFonts w:cs="Arial"/>
          <w:lang w:eastAsia="en-GB"/>
        </w:rPr>
        <w:t xml:space="preserve"> and intervention. </w:t>
      </w:r>
      <w:r w:rsidRPr="3EB0D82A">
        <w:rPr>
          <w:rFonts w:cs="Arial"/>
          <w:lang w:eastAsia="en-GB"/>
        </w:rPr>
        <w:t xml:space="preserve"> </w:t>
      </w:r>
      <w:r w:rsidR="75A57212" w:rsidRPr="3EB0D82A">
        <w:rPr>
          <w:rFonts w:cs="Arial"/>
          <w:lang w:eastAsia="en-GB"/>
        </w:rPr>
        <w:t xml:space="preserve">The Multiagency partnership has undertaken work to identify the cohort of children looked after by Harrow who are most likely to require mental health services, based on </w:t>
      </w:r>
      <w:r w:rsidR="0E389AD9" w:rsidRPr="3EB0D82A">
        <w:rPr>
          <w:rFonts w:cs="Arial"/>
          <w:lang w:eastAsia="en-GB"/>
        </w:rPr>
        <w:t xml:space="preserve">key well-being indicators, including strength and </w:t>
      </w:r>
      <w:r w:rsidR="1A8DC019" w:rsidRPr="3EB0D82A">
        <w:rPr>
          <w:rFonts w:cs="Arial"/>
          <w:lang w:eastAsia="en-GB"/>
        </w:rPr>
        <w:t>difficulty</w:t>
      </w:r>
      <w:r w:rsidR="0E389AD9" w:rsidRPr="3EB0D82A">
        <w:rPr>
          <w:rFonts w:cs="Arial"/>
          <w:lang w:eastAsia="en-GB"/>
        </w:rPr>
        <w:t xml:space="preserve"> questionnaires (SDQs), placement stability, missing episodes and Education, Health and Care Plans (</w:t>
      </w:r>
      <w:r w:rsidR="4C3F577C" w:rsidRPr="3EB0D82A">
        <w:rPr>
          <w:rFonts w:cs="Arial"/>
          <w:lang w:eastAsia="en-GB"/>
        </w:rPr>
        <w:t>EHCP).</w:t>
      </w:r>
      <w:r w:rsidRPr="3EB0D82A">
        <w:rPr>
          <w:rFonts w:cs="Arial"/>
        </w:rPr>
        <w:t xml:space="preserve"> To avoid delays in </w:t>
      </w:r>
      <w:r w:rsidR="549AF3E6" w:rsidRPr="3EB0D82A">
        <w:rPr>
          <w:rFonts w:cs="Arial"/>
        </w:rPr>
        <w:t>providing mental health support</w:t>
      </w:r>
      <w:r w:rsidR="3F8229A9" w:rsidRPr="3EB0D82A">
        <w:rPr>
          <w:rFonts w:cs="Arial"/>
        </w:rPr>
        <w:t>,</w:t>
      </w:r>
      <w:r w:rsidR="549AF3E6" w:rsidRPr="3EB0D82A">
        <w:rPr>
          <w:rFonts w:cs="Arial"/>
        </w:rPr>
        <w:t xml:space="preserve"> </w:t>
      </w:r>
      <w:r w:rsidRPr="3EB0D82A">
        <w:rPr>
          <w:rFonts w:cs="Arial"/>
        </w:rPr>
        <w:t>the new service</w:t>
      </w:r>
      <w:r w:rsidR="6705C384" w:rsidRPr="3EB0D82A">
        <w:rPr>
          <w:rFonts w:cs="Arial"/>
        </w:rPr>
        <w:t xml:space="preserve"> will have</w:t>
      </w:r>
      <w:r w:rsidRPr="3EB0D82A">
        <w:rPr>
          <w:rFonts w:cs="Arial"/>
        </w:rPr>
        <w:t xml:space="preserve"> a </w:t>
      </w:r>
      <w:r>
        <w:t>dedicated offer of consultation and liaison support for looked after children</w:t>
      </w:r>
      <w:r w:rsidR="362058EA">
        <w:t xml:space="preserve"> and/or their network</w:t>
      </w:r>
      <w:r>
        <w:t xml:space="preserve"> </w:t>
      </w:r>
      <w:r w:rsidR="0ADC09CD">
        <w:t xml:space="preserve">to ensure the needs of this vulnerable group are appropriately prioritised. </w:t>
      </w:r>
    </w:p>
    <w:p w14:paraId="4391492C" w14:textId="77777777" w:rsidR="001F1BA2" w:rsidRPr="001F1BA2" w:rsidRDefault="001F1BA2" w:rsidP="001F1BA2">
      <w:pPr>
        <w:tabs>
          <w:tab w:val="left" w:pos="7245"/>
        </w:tabs>
        <w:rPr>
          <w:iCs/>
          <w:szCs w:val="24"/>
        </w:rPr>
      </w:pPr>
    </w:p>
    <w:p w14:paraId="482D5093" w14:textId="599B682B" w:rsidR="00333FAA" w:rsidRPr="0004426F" w:rsidRDefault="00333FAA" w:rsidP="0054590F">
      <w:pPr>
        <w:pStyle w:val="Heading4"/>
        <w:rPr>
          <w:szCs w:val="24"/>
        </w:rPr>
      </w:pPr>
      <w:r w:rsidRPr="0004426F">
        <w:rPr>
          <w:szCs w:val="24"/>
        </w:rPr>
        <w:t>Environmental Implications</w:t>
      </w:r>
    </w:p>
    <w:p w14:paraId="39F8237F" w14:textId="7F768BDC" w:rsidR="00327F59" w:rsidRDefault="00327F59" w:rsidP="00327F59"/>
    <w:p w14:paraId="01E07721" w14:textId="5E7117DE" w:rsidR="00327F59" w:rsidRPr="00327F59" w:rsidRDefault="38F389C3" w:rsidP="00D51D76">
      <w:pPr>
        <w:pStyle w:val="ListParagraph"/>
        <w:numPr>
          <w:ilvl w:val="0"/>
          <w:numId w:val="4"/>
        </w:numPr>
      </w:pPr>
      <w:r>
        <w:t xml:space="preserve">There are no environmental issues identified </w:t>
      </w:r>
    </w:p>
    <w:p w14:paraId="725E999E" w14:textId="5CB1BD69" w:rsidR="000929A6" w:rsidRDefault="000929A6" w:rsidP="001472A8">
      <w:pPr>
        <w:rPr>
          <w:iCs/>
        </w:rPr>
      </w:pPr>
    </w:p>
    <w:p w14:paraId="3BED357E" w14:textId="77777777" w:rsidR="00435EFF" w:rsidRDefault="00435EFF" w:rsidP="002A3FEF">
      <w:pPr>
        <w:pStyle w:val="Heading4"/>
        <w:rPr>
          <w:szCs w:val="24"/>
        </w:rPr>
      </w:pPr>
    </w:p>
    <w:p w14:paraId="31409836" w14:textId="6516EF75" w:rsidR="002A3FEF" w:rsidRDefault="002A3FEF" w:rsidP="002A3FEF">
      <w:pPr>
        <w:pStyle w:val="Heading4"/>
        <w:rPr>
          <w:szCs w:val="24"/>
        </w:rPr>
      </w:pPr>
      <w:r w:rsidRPr="00DE5E33">
        <w:rPr>
          <w:szCs w:val="24"/>
        </w:rPr>
        <w:t>Dat</w:t>
      </w:r>
      <w:r w:rsidR="00DE72CF" w:rsidRPr="00DE5E33">
        <w:rPr>
          <w:szCs w:val="24"/>
        </w:rPr>
        <w:t>a</w:t>
      </w:r>
      <w:r w:rsidRPr="00DE5E33">
        <w:rPr>
          <w:szCs w:val="24"/>
        </w:rPr>
        <w:t xml:space="preserve"> Protection Implications</w:t>
      </w:r>
    </w:p>
    <w:p w14:paraId="23EA0174" w14:textId="54D49FBA" w:rsidR="00924A4E" w:rsidRDefault="00924A4E" w:rsidP="00924A4E">
      <w:pPr>
        <w:rPr>
          <w:sz w:val="22"/>
          <w:szCs w:val="18"/>
        </w:rPr>
      </w:pPr>
    </w:p>
    <w:p w14:paraId="7C00967B" w14:textId="64A2EA4C" w:rsidR="00F76ED5" w:rsidRPr="002338DF" w:rsidRDefault="01DDFDE0" w:rsidP="002338DF">
      <w:pPr>
        <w:pStyle w:val="ListParagraph"/>
        <w:numPr>
          <w:ilvl w:val="0"/>
          <w:numId w:val="4"/>
        </w:numPr>
        <w:rPr>
          <w:szCs w:val="24"/>
        </w:rPr>
      </w:pPr>
      <w:r>
        <w:t xml:space="preserve">There are no data protection implications.  The current service provider has a </w:t>
      </w:r>
      <w:r w:rsidR="32D8CDF2">
        <w:t xml:space="preserve">signed service level agreement in place with the Local Authority and Health.  </w:t>
      </w:r>
    </w:p>
    <w:p w14:paraId="75284416" w14:textId="1002A45A" w:rsidR="00A81E19" w:rsidRDefault="00A81E19" w:rsidP="00A1211C">
      <w:pPr>
        <w:pStyle w:val="Heading3"/>
        <w:spacing w:before="480" w:after="240"/>
      </w:pPr>
      <w:r>
        <w:t>Risk Management Implications</w:t>
      </w:r>
    </w:p>
    <w:p w14:paraId="0B289C2F" w14:textId="0DAEAEA1" w:rsidR="00C53F1A" w:rsidRPr="002338DF" w:rsidRDefault="4276A3A9" w:rsidP="002338DF">
      <w:pPr>
        <w:pStyle w:val="ListParagraph"/>
        <w:numPr>
          <w:ilvl w:val="0"/>
          <w:numId w:val="4"/>
        </w:numPr>
        <w:tabs>
          <w:tab w:val="left" w:pos="5610"/>
        </w:tabs>
        <w:ind w:right="81"/>
        <w:rPr>
          <w:color w:val="0000FF"/>
        </w:rPr>
      </w:pPr>
      <w:bookmarkStart w:id="0" w:name="_Hlk60923477"/>
      <w:bookmarkStart w:id="1" w:name="_Hlk60922991"/>
      <w:bookmarkStart w:id="2" w:name="_Hlk60923939"/>
      <w:r w:rsidRPr="3EB0D82A">
        <w:rPr>
          <w:rFonts w:cs="Arial"/>
          <w:lang w:val="en-US"/>
        </w:rPr>
        <w:t xml:space="preserve">Risks included on corporate or directorate risk register? </w:t>
      </w:r>
      <w:r w:rsidR="00737CFF">
        <w:rPr>
          <w:rFonts w:cs="Arial"/>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0D866137" w:rsidR="00C53F1A" w:rsidRPr="002338DF" w:rsidRDefault="4276A3A9" w:rsidP="002338DF">
      <w:pPr>
        <w:pStyle w:val="ListParagraph"/>
        <w:numPr>
          <w:ilvl w:val="0"/>
          <w:numId w:val="4"/>
        </w:numPr>
        <w:ind w:right="141"/>
        <w:rPr>
          <w:rFonts w:cs="Arial"/>
          <w:b/>
          <w:bCs/>
          <w:color w:val="4F81BD" w:themeColor="accent1"/>
          <w:szCs w:val="24"/>
          <w:lang w:val="en-US" w:eastAsia="en-GB"/>
        </w:rPr>
      </w:pPr>
      <w:r w:rsidRPr="3EB0D82A">
        <w:rPr>
          <w:rFonts w:cs="Arial"/>
          <w:lang w:val="en-US" w:eastAsia="en-GB"/>
        </w:rPr>
        <w:t>Separate risk register in place?</w:t>
      </w:r>
      <w:r w:rsidR="66505987" w:rsidRPr="3EB0D82A">
        <w:rPr>
          <w:rFonts w:cs="Arial"/>
          <w:lang w:val="en-US" w:eastAsia="en-GB"/>
        </w:rPr>
        <w:t xml:space="preserve"> </w:t>
      </w:r>
      <w:r w:rsidR="648A65FD" w:rsidRPr="3EB0D82A">
        <w:rPr>
          <w:rFonts w:cs="Arial"/>
          <w:lang w:val="en-US" w:eastAsia="en-GB"/>
        </w:rPr>
        <w:t>NO</w:t>
      </w:r>
    </w:p>
    <w:p w14:paraId="72B374FF" w14:textId="77777777" w:rsidR="00C53F1A" w:rsidRDefault="00C53F1A" w:rsidP="00105B8A">
      <w:pPr>
        <w:tabs>
          <w:tab w:val="left" w:pos="5610"/>
        </w:tabs>
        <w:ind w:left="567" w:right="81" w:hanging="567"/>
      </w:pPr>
    </w:p>
    <w:p w14:paraId="2E054B04" w14:textId="7ABCC87C" w:rsidR="00C53F1A" w:rsidRPr="00737CFF" w:rsidRDefault="4276A3A9" w:rsidP="00FF5EEE">
      <w:pPr>
        <w:pStyle w:val="ListParagraph"/>
        <w:numPr>
          <w:ilvl w:val="0"/>
          <w:numId w:val="4"/>
        </w:numPr>
        <w:tabs>
          <w:tab w:val="left" w:pos="5610"/>
        </w:tabs>
        <w:ind w:right="81"/>
      </w:pPr>
      <w:r>
        <w:t xml:space="preserve">The relevant risks contained in the register are attached/summarised below. </w:t>
      </w:r>
      <w:r w:rsidR="00737CFF" w:rsidRPr="00737CFF">
        <w:rPr>
          <w:rFonts w:cs="Arial"/>
          <w:lang w:val="en-US" w:eastAsia="en-GB"/>
        </w:rPr>
        <w:t>NO</w:t>
      </w:r>
    </w:p>
    <w:p w14:paraId="45AEB19F" w14:textId="77777777" w:rsidR="00105B8A" w:rsidRDefault="00105B8A" w:rsidP="00105B8A"/>
    <w:p w14:paraId="68B1512C" w14:textId="357B2322" w:rsidR="00C53F1A" w:rsidRDefault="4276A3A9" w:rsidP="00FF5EEE">
      <w:pPr>
        <w:pStyle w:val="ListParagraph"/>
        <w:numPr>
          <w:ilvl w:val="0"/>
          <w:numId w:val="4"/>
        </w:numPr>
      </w:pPr>
      <w:r>
        <w:t xml:space="preserve">The following key risks should be </w:t>
      </w:r>
      <w:proofErr w:type="gramStart"/>
      <w:r>
        <w:t xml:space="preserve">taken </w:t>
      </w:r>
      <w:r w:rsidR="08C6A188">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Default="00380F87" w:rsidP="003A17C7">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3A17C7">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3A17C7">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1759A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861F4F" w14:textId="6966E771" w:rsidR="00737CFF" w:rsidRPr="0076593B" w:rsidRDefault="00737CFF" w:rsidP="00737CFF">
            <w:pPr>
              <w:pStyle w:val="CommentText"/>
              <w:rPr>
                <w:sz w:val="24"/>
                <w:szCs w:val="24"/>
              </w:rPr>
            </w:pPr>
            <w:r w:rsidRPr="0076593B">
              <w:rPr>
                <w:sz w:val="24"/>
                <w:szCs w:val="24"/>
              </w:rPr>
              <w:t xml:space="preserve">Failure to fulfil statutory requirement to work together </w:t>
            </w:r>
            <w:r w:rsidR="00EE3ADF">
              <w:rPr>
                <w:sz w:val="24"/>
                <w:szCs w:val="24"/>
              </w:rPr>
              <w:t xml:space="preserve">with NHS to </w:t>
            </w:r>
            <w:r w:rsidRPr="0076593B">
              <w:rPr>
                <w:sz w:val="24"/>
                <w:szCs w:val="24"/>
              </w:rPr>
              <w:t>commission services</w:t>
            </w:r>
          </w:p>
          <w:p w14:paraId="37616200" w14:textId="77777777" w:rsidR="00737CFF" w:rsidRDefault="00737CFF" w:rsidP="003A17C7">
            <w:pPr>
              <w:spacing w:line="247" w:lineRule="auto"/>
              <w:ind w:right="141"/>
              <w:rPr>
                <w:rFonts w:cs="Arial"/>
                <w:szCs w:val="24"/>
                <w:lang w:val="en-US" w:eastAsia="en-GB"/>
              </w:rPr>
            </w:pPr>
          </w:p>
          <w:p w14:paraId="52E4130C" w14:textId="77777777" w:rsidR="00737CFF" w:rsidRDefault="00737CFF" w:rsidP="003A17C7">
            <w:pPr>
              <w:spacing w:line="247" w:lineRule="auto"/>
              <w:ind w:right="141"/>
              <w:rPr>
                <w:rFonts w:cs="Arial"/>
                <w:szCs w:val="24"/>
                <w:lang w:val="en-US" w:eastAsia="en-GB"/>
              </w:rPr>
            </w:pPr>
          </w:p>
          <w:p w14:paraId="18599A42" w14:textId="53B53D2C" w:rsidR="00380F87" w:rsidRDefault="00380F87" w:rsidP="003A17C7">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E9AF51" w14:textId="10760F5E" w:rsidR="00A8549B" w:rsidRDefault="00A8549B" w:rsidP="00EE3ADF">
            <w:pPr>
              <w:pStyle w:val="ListParagraph"/>
              <w:numPr>
                <w:ilvl w:val="0"/>
                <w:numId w:val="16"/>
              </w:numPr>
              <w:suppressAutoHyphens/>
              <w:autoSpaceDN w:val="0"/>
              <w:spacing w:line="247" w:lineRule="auto"/>
              <w:ind w:right="141"/>
              <w:rPr>
                <w:szCs w:val="24"/>
                <w:lang w:val="en-US"/>
              </w:rPr>
            </w:pPr>
            <w:r>
              <w:rPr>
                <w:szCs w:val="24"/>
                <w:lang w:val="en-US"/>
              </w:rPr>
              <w:t>Agree to combine budgets and jointly work together to redesign the service.</w:t>
            </w:r>
          </w:p>
          <w:p w14:paraId="622A48D7" w14:textId="77777777" w:rsidR="00A8549B" w:rsidRDefault="00A8549B" w:rsidP="00A8549B">
            <w:pPr>
              <w:pStyle w:val="ListParagraph"/>
              <w:suppressAutoHyphens/>
              <w:autoSpaceDN w:val="0"/>
              <w:spacing w:line="247" w:lineRule="auto"/>
              <w:ind w:left="360" w:right="141"/>
              <w:rPr>
                <w:szCs w:val="24"/>
                <w:lang w:val="en-US"/>
              </w:rPr>
            </w:pPr>
          </w:p>
          <w:p w14:paraId="07DCD158" w14:textId="33D3DF4C" w:rsidR="00A8549B" w:rsidRPr="00EE3ADF" w:rsidRDefault="00A8549B" w:rsidP="00A8549B">
            <w:pPr>
              <w:pStyle w:val="ListParagraph"/>
              <w:numPr>
                <w:ilvl w:val="0"/>
                <w:numId w:val="16"/>
              </w:numPr>
              <w:suppressAutoHyphens/>
              <w:autoSpaceDN w:val="0"/>
              <w:spacing w:line="247" w:lineRule="auto"/>
              <w:ind w:right="141"/>
              <w:rPr>
                <w:szCs w:val="24"/>
                <w:lang w:val="en-US"/>
              </w:rPr>
            </w:pPr>
            <w:r w:rsidRPr="002E247C">
              <w:rPr>
                <w:szCs w:val="24"/>
                <w:lang w:val="en-US"/>
              </w:rPr>
              <w:t xml:space="preserve">Joint commissioning should also </w:t>
            </w:r>
            <w:proofErr w:type="spellStart"/>
            <w:r w:rsidRPr="002E247C">
              <w:rPr>
                <w:szCs w:val="24"/>
                <w:lang w:val="en-US"/>
              </w:rPr>
              <w:t>maximise</w:t>
            </w:r>
            <w:proofErr w:type="spellEnd"/>
            <w:r w:rsidRPr="002E247C">
              <w:rPr>
                <w:szCs w:val="24"/>
                <w:lang w:val="en-US"/>
              </w:rPr>
              <w:t xml:space="preserve"> the benefits of the service through ensuring it is as joined up and seamless for families as possible; based on identified need.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1BD16511" w14:textId="77777777" w:rsidR="00380F87" w:rsidRPr="00346356" w:rsidRDefault="00380F87" w:rsidP="003A17C7">
            <w:pPr>
              <w:spacing w:line="247" w:lineRule="auto"/>
              <w:ind w:left="171" w:right="141"/>
              <w:rPr>
                <w:rFonts w:cs="Arial"/>
                <w:b/>
                <w:bCs/>
                <w:szCs w:val="24"/>
                <w:lang w:val="en-US" w:eastAsia="en-GB"/>
              </w:rPr>
            </w:pPr>
            <w:r w:rsidRPr="00346356">
              <w:rPr>
                <w:rFonts w:cs="Arial"/>
                <w:b/>
                <w:bCs/>
                <w:szCs w:val="24"/>
                <w:lang w:val="en-US" w:eastAsia="en-GB"/>
              </w:rPr>
              <w:t>Green</w:t>
            </w:r>
          </w:p>
        </w:tc>
      </w:tr>
      <w:tr w:rsidR="0055716B" w14:paraId="230B9CA0" w14:textId="77777777" w:rsidTr="002E247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B00243" w14:textId="445655E3" w:rsidR="006E1FAD" w:rsidRPr="00F445FE" w:rsidRDefault="00737CFF" w:rsidP="00737CFF">
            <w:pPr>
              <w:rPr>
                <w:rFonts w:cs="Arial"/>
                <w:szCs w:val="24"/>
                <w:lang w:val="en-US" w:eastAsia="en-GB"/>
              </w:rPr>
            </w:pPr>
            <w:r>
              <w:t>Failure to fulfil statutory duty of ‘Promoting the Health and Well-Being of Looked- After Children’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8FF78B" w14:textId="60F6A7EE" w:rsidR="00E75188" w:rsidRPr="00851B33" w:rsidRDefault="00E75188" w:rsidP="00A8549B">
            <w:pPr>
              <w:pStyle w:val="ListParagraph"/>
              <w:numPr>
                <w:ilvl w:val="0"/>
                <w:numId w:val="17"/>
              </w:numPr>
              <w:suppressAutoHyphens/>
              <w:autoSpaceDN w:val="0"/>
              <w:spacing w:line="247" w:lineRule="auto"/>
              <w:ind w:right="141"/>
              <w:rPr>
                <w:szCs w:val="24"/>
                <w:lang w:val="en-US"/>
              </w:rPr>
            </w:pPr>
            <w:r w:rsidRPr="00851B33">
              <w:rPr>
                <w:szCs w:val="24"/>
              </w:rPr>
              <w:t>This new proposed service will support those children and young people aged 0 to 18, or up to 25 with a Special Educational Need or Disability with emotional health and wellbeing needs, that do not meet the threshold for specialist mental health services</w:t>
            </w:r>
            <w:r w:rsidR="00851B33">
              <w:rPr>
                <w:szCs w:val="24"/>
              </w:rPr>
              <w:t xml:space="preserve">, prioritising children with a social worker. </w:t>
            </w:r>
            <w:r w:rsidRPr="00851B33">
              <w:rPr>
                <w:szCs w:val="24"/>
              </w:rPr>
              <w:t xml:space="preserve">  </w:t>
            </w:r>
          </w:p>
          <w:p w14:paraId="125389E0" w14:textId="440C82E2" w:rsidR="0055716B" w:rsidRPr="00A8549B" w:rsidRDefault="0055716B" w:rsidP="00A8549B">
            <w:pPr>
              <w:suppressAutoHyphens/>
              <w:autoSpaceDN w:val="0"/>
              <w:spacing w:line="247" w:lineRule="auto"/>
              <w:ind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9DD1F6F" w14:textId="5539B250" w:rsidR="0055716B" w:rsidRPr="002E247C" w:rsidRDefault="002E247C" w:rsidP="003A17C7">
            <w:pPr>
              <w:spacing w:line="247" w:lineRule="auto"/>
              <w:ind w:right="141"/>
              <w:rPr>
                <w:rFonts w:cs="Arial"/>
                <w:b/>
                <w:bCs/>
                <w:szCs w:val="24"/>
                <w:lang w:val="en-US" w:eastAsia="en-GB"/>
              </w:rPr>
            </w:pPr>
            <w:r w:rsidRPr="002E247C">
              <w:rPr>
                <w:rFonts w:cs="Arial"/>
                <w:b/>
                <w:bCs/>
                <w:szCs w:val="24"/>
                <w:lang w:val="en-US" w:eastAsia="en-GB"/>
              </w:rPr>
              <w:t>Green</w:t>
            </w:r>
          </w:p>
        </w:tc>
      </w:tr>
      <w:tr w:rsidR="0076593B" w14:paraId="7A574C33" w14:textId="77777777" w:rsidTr="002E247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1F176B" w14:textId="7BAD6775" w:rsidR="0076593B" w:rsidRDefault="00AE5FD8" w:rsidP="00737CFF">
            <w:r>
              <w:lastRenderedPageBreak/>
              <w:t xml:space="preserve">Failure to follow </w:t>
            </w:r>
            <w:r w:rsidR="0076593B">
              <w:t xml:space="preserve">Procurement </w:t>
            </w:r>
            <w:r>
              <w:t>regulations</w:t>
            </w:r>
            <w:r w:rsidR="0076593B">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8DB8DE" w14:textId="4666F8A7" w:rsidR="00A8549B" w:rsidRDefault="00A8549B" w:rsidP="00A8549B">
            <w:pPr>
              <w:pStyle w:val="ListParagraph"/>
              <w:numPr>
                <w:ilvl w:val="0"/>
                <w:numId w:val="8"/>
              </w:numPr>
              <w:suppressAutoHyphens/>
              <w:autoSpaceDN w:val="0"/>
              <w:spacing w:line="247" w:lineRule="auto"/>
              <w:ind w:left="360" w:right="141"/>
              <w:rPr>
                <w:szCs w:val="24"/>
                <w:lang w:val="en-US"/>
              </w:rPr>
            </w:pPr>
            <w:r w:rsidRPr="002E247C">
              <w:rPr>
                <w:szCs w:val="24"/>
                <w:lang w:val="en-US"/>
              </w:rPr>
              <w:t xml:space="preserve">NHS </w:t>
            </w:r>
            <w:proofErr w:type="gramStart"/>
            <w:r w:rsidRPr="002E247C">
              <w:rPr>
                <w:szCs w:val="24"/>
                <w:lang w:val="en-US"/>
              </w:rPr>
              <w:t>North West</w:t>
            </w:r>
            <w:proofErr w:type="gramEnd"/>
            <w:r w:rsidRPr="002E247C">
              <w:rPr>
                <w:szCs w:val="24"/>
                <w:lang w:val="en-US"/>
              </w:rPr>
              <w:t xml:space="preserve"> London ICB will take the lead in the procurement process</w:t>
            </w:r>
            <w:r w:rsidR="00AE5FD8">
              <w:rPr>
                <w:szCs w:val="24"/>
                <w:lang w:val="en-US"/>
              </w:rPr>
              <w:t xml:space="preserve">.  </w:t>
            </w:r>
          </w:p>
          <w:p w14:paraId="775DEFF6" w14:textId="77777777" w:rsidR="00AE5FD8" w:rsidRPr="002E247C" w:rsidRDefault="00AE5FD8" w:rsidP="00AE5FD8">
            <w:pPr>
              <w:pStyle w:val="ListParagraph"/>
              <w:suppressAutoHyphens/>
              <w:autoSpaceDN w:val="0"/>
              <w:spacing w:line="247" w:lineRule="auto"/>
              <w:ind w:left="360" w:right="141"/>
              <w:rPr>
                <w:szCs w:val="24"/>
                <w:lang w:val="en-US"/>
              </w:rPr>
            </w:pPr>
          </w:p>
          <w:p w14:paraId="35D22F06" w14:textId="4FAEB1F9" w:rsidR="0076593B" w:rsidRPr="002E247C" w:rsidRDefault="00AE5FD8" w:rsidP="002E247C">
            <w:pPr>
              <w:pStyle w:val="ListParagraph"/>
              <w:numPr>
                <w:ilvl w:val="0"/>
                <w:numId w:val="8"/>
              </w:numPr>
              <w:suppressAutoHyphens/>
              <w:autoSpaceDN w:val="0"/>
              <w:spacing w:line="247" w:lineRule="auto"/>
              <w:ind w:left="360" w:right="141"/>
              <w:rPr>
                <w:szCs w:val="24"/>
                <w:lang w:val="en-US"/>
              </w:rPr>
            </w:pPr>
            <w:r>
              <w:rPr>
                <w:szCs w:val="24"/>
                <w:lang w:val="en-US"/>
              </w:rPr>
              <w:t>The council will work closely with the NHS to ensure all procurement regulations are followed.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5B62DA23" w14:textId="56E35944" w:rsidR="0076593B" w:rsidRPr="002E247C" w:rsidRDefault="001650AF" w:rsidP="003A17C7">
            <w:pPr>
              <w:spacing w:line="247" w:lineRule="auto"/>
              <w:ind w:right="141"/>
              <w:rPr>
                <w:rFonts w:cs="Arial"/>
                <w:b/>
                <w:bCs/>
                <w:szCs w:val="24"/>
                <w:lang w:val="en-US" w:eastAsia="en-GB"/>
              </w:rPr>
            </w:pPr>
            <w:r>
              <w:rPr>
                <w:rFonts w:cs="Arial"/>
                <w:b/>
                <w:bCs/>
                <w:szCs w:val="24"/>
                <w:lang w:val="en-US" w:eastAsia="en-GB"/>
              </w:rPr>
              <w:t>Green</w:t>
            </w:r>
          </w:p>
        </w:tc>
      </w:tr>
      <w:tr w:rsidR="00E75188" w14:paraId="510E96CA" w14:textId="77777777" w:rsidTr="002E247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125FCA" w14:textId="5158788C" w:rsidR="00E75188" w:rsidRDefault="00E75188" w:rsidP="00737CFF">
            <w:r w:rsidRPr="00851B33">
              <w:t xml:space="preserve">Failure to support the corporate parenting responsibilities of the local authority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F191AA" w14:textId="21A4202B" w:rsidR="00E75188" w:rsidRPr="002E247C" w:rsidRDefault="00E75188" w:rsidP="00A8549B">
            <w:pPr>
              <w:pStyle w:val="ListParagraph"/>
              <w:numPr>
                <w:ilvl w:val="0"/>
                <w:numId w:val="8"/>
              </w:numPr>
              <w:suppressAutoHyphens/>
              <w:autoSpaceDN w:val="0"/>
              <w:spacing w:line="247" w:lineRule="auto"/>
              <w:ind w:left="360" w:right="141"/>
              <w:rPr>
                <w:szCs w:val="24"/>
                <w:lang w:val="en-US"/>
              </w:rPr>
            </w:pPr>
            <w:r w:rsidRPr="00851B33">
              <w:t>The new service specification will be designed to meet the Authority’s corporate parenting responsibilities and prioritises the mental health needs of children looked after for both assessments and therapeutic support.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C6DF2F5" w14:textId="4D2D5A47" w:rsidR="00E75188" w:rsidRPr="002E247C" w:rsidRDefault="001650AF" w:rsidP="003A17C7">
            <w:pPr>
              <w:spacing w:line="247" w:lineRule="auto"/>
              <w:ind w:right="141"/>
              <w:rPr>
                <w:rFonts w:cs="Arial"/>
                <w:b/>
                <w:bCs/>
                <w:szCs w:val="24"/>
                <w:lang w:val="en-US" w:eastAsia="en-GB"/>
              </w:rPr>
            </w:pPr>
            <w:r>
              <w:rPr>
                <w:rFonts w:cs="Arial"/>
                <w:b/>
                <w:bCs/>
                <w:szCs w:val="24"/>
                <w:lang w:val="en-US" w:eastAsia="en-GB"/>
              </w:rPr>
              <w:t>Green</w:t>
            </w:r>
          </w:p>
        </w:tc>
      </w:tr>
    </w:tbl>
    <w:bookmarkEnd w:id="1"/>
    <w:bookmarkEnd w:id="2"/>
    <w:p w14:paraId="0249BBDB" w14:textId="02A38157" w:rsidR="002A3FEF" w:rsidRDefault="002A3FEF" w:rsidP="00A1211C">
      <w:pPr>
        <w:pStyle w:val="Heading3"/>
        <w:spacing w:before="480" w:after="240"/>
      </w:pPr>
      <w:r>
        <w:t>Procurement Implications</w:t>
      </w:r>
    </w:p>
    <w:p w14:paraId="20B691CC" w14:textId="599FFB23" w:rsidR="1AFBFD83" w:rsidRDefault="0766FEA3" w:rsidP="00073218">
      <w:pPr>
        <w:pStyle w:val="ListParagraph"/>
        <w:numPr>
          <w:ilvl w:val="0"/>
          <w:numId w:val="4"/>
        </w:numPr>
      </w:pPr>
      <w:r>
        <w:t xml:space="preserve">The Council will work closely with </w:t>
      </w:r>
      <w:r w:rsidR="0F4E876D">
        <w:t xml:space="preserve">NHS </w:t>
      </w:r>
      <w:proofErr w:type="gramStart"/>
      <w:r w:rsidR="658AAB09">
        <w:t>North West</w:t>
      </w:r>
      <w:proofErr w:type="gramEnd"/>
      <w:r w:rsidR="658AAB09">
        <w:t xml:space="preserve"> London</w:t>
      </w:r>
      <w:r w:rsidR="0F4E876D">
        <w:t xml:space="preserve"> ICB </w:t>
      </w:r>
      <w:r w:rsidR="06A0AD6A">
        <w:t xml:space="preserve">and have oversight </w:t>
      </w:r>
      <w:r>
        <w:t>o</w:t>
      </w:r>
      <w:r w:rsidR="5075CC56">
        <w:t>f</w:t>
      </w:r>
      <w:r>
        <w:t xml:space="preserve"> the procurement plans, tender documentation and ensure that this is compliant with the Public Contract Regulations 2015</w:t>
      </w:r>
      <w:r w:rsidR="43664794">
        <w:t>.</w:t>
      </w:r>
    </w:p>
    <w:p w14:paraId="44413A6E" w14:textId="77777777" w:rsidR="00333FAA" w:rsidRDefault="00333FAA" w:rsidP="00A1211C">
      <w:pPr>
        <w:pStyle w:val="Heading3"/>
        <w:spacing w:before="480" w:after="240"/>
      </w:pPr>
      <w:r>
        <w:t>Legal Implications</w:t>
      </w:r>
    </w:p>
    <w:p w14:paraId="2B6C7186" w14:textId="73FDA855" w:rsidR="008504E7" w:rsidRDefault="008504E7" w:rsidP="008504E7">
      <w:pPr>
        <w:pStyle w:val="ListParagraph"/>
        <w:numPr>
          <w:ilvl w:val="0"/>
          <w:numId w:val="4"/>
        </w:numPr>
      </w:pPr>
      <w:r>
        <w:t xml:space="preserve">Under section 22(3)(a) of the Children Act 1989, local authorities having a duty to safeguard and promote the welfare of the children they look after, including the promotion of the child’s physical, </w:t>
      </w:r>
      <w:proofErr w:type="gramStart"/>
      <w:r>
        <w:t>emotional</w:t>
      </w:r>
      <w:proofErr w:type="gramEnd"/>
      <w:r>
        <w:t xml:space="preserve"> and mental health.</w:t>
      </w:r>
    </w:p>
    <w:p w14:paraId="652FC827" w14:textId="77777777" w:rsidR="008504E7" w:rsidRDefault="008504E7" w:rsidP="008504E7">
      <w:pPr>
        <w:pStyle w:val="ListParagraph"/>
      </w:pPr>
    </w:p>
    <w:p w14:paraId="4E8CFF8B" w14:textId="77777777" w:rsidR="008504E7" w:rsidRDefault="008504E7" w:rsidP="008504E7">
      <w:pPr>
        <w:pStyle w:val="ListParagraph"/>
        <w:numPr>
          <w:ilvl w:val="0"/>
          <w:numId w:val="4"/>
        </w:numPr>
      </w:pPr>
      <w:r>
        <w:t>Section 75 of the National Health Service Act 2006 permits CCG and Local Authorities to commission services jointly.  Section 75 NHS Act 2006 arrangements are not subject to the Council’s Contract Procedure Rules.</w:t>
      </w:r>
    </w:p>
    <w:p w14:paraId="12344773" w14:textId="77777777" w:rsidR="008504E7" w:rsidRDefault="008504E7" w:rsidP="008504E7">
      <w:pPr>
        <w:pStyle w:val="ListParagraph"/>
      </w:pPr>
    </w:p>
    <w:p w14:paraId="75C76464" w14:textId="3A72BE09" w:rsidR="00474B16" w:rsidRDefault="008504E7" w:rsidP="00127E27">
      <w:pPr>
        <w:pStyle w:val="ListParagraph"/>
        <w:numPr>
          <w:ilvl w:val="0"/>
          <w:numId w:val="4"/>
        </w:numPr>
      </w:pPr>
      <w:r>
        <w:t xml:space="preserve">The Council and </w:t>
      </w:r>
      <w:proofErr w:type="gramStart"/>
      <w:r>
        <w:t>North West</w:t>
      </w:r>
      <w:proofErr w:type="gramEnd"/>
      <w:r>
        <w:t xml:space="preserve"> London CCG entered into a Section 75 Agreement under the National Health Service Act 2006; this agreement enables the Council and the CCG to enter into partnership arrangement to provide services and pool resources. This agreement remains valid until 2027 therefore the commissioning intentions as set out in this report for the emotional health and wellbeing services can be fulfilled through the Section 75 Agreement. The CCG as lead commissioners and the contracting authority must adhere to the Public </w:t>
      </w:r>
      <w:r>
        <w:lastRenderedPageBreak/>
        <w:t>Contracts Regulations 2015 and any applicable NHS Regulations in their appointment and award of the new contract.</w:t>
      </w:r>
    </w:p>
    <w:p w14:paraId="54A51334" w14:textId="77777777" w:rsidR="00A1211C" w:rsidRPr="00421A4C" w:rsidRDefault="00A1211C" w:rsidP="00A1211C">
      <w:pPr>
        <w:rPr>
          <w:color w:val="0000FF"/>
        </w:rPr>
      </w:pPr>
    </w:p>
    <w:p w14:paraId="11F2AC04" w14:textId="2A563A45" w:rsidR="00333FAA" w:rsidRPr="004C5A79" w:rsidRDefault="00333FAA" w:rsidP="00F75749">
      <w:pPr>
        <w:rPr>
          <w:b/>
          <w:bCs/>
          <w:sz w:val="28"/>
          <w:szCs w:val="28"/>
        </w:rPr>
      </w:pPr>
      <w:r w:rsidRPr="004C5A79">
        <w:rPr>
          <w:b/>
          <w:bCs/>
          <w:sz w:val="28"/>
          <w:szCs w:val="28"/>
        </w:rPr>
        <w:t>Financial Implications</w:t>
      </w:r>
    </w:p>
    <w:p w14:paraId="49062BD4" w14:textId="0CCC37CA" w:rsidR="00F24C5D" w:rsidRDefault="00F24C5D" w:rsidP="00F75749"/>
    <w:p w14:paraId="34F94BAE" w14:textId="18637EB2" w:rsidR="00F24C5D" w:rsidRDefault="0BA309E8" w:rsidP="00FF5EEE">
      <w:pPr>
        <w:pStyle w:val="ListParagraph"/>
        <w:numPr>
          <w:ilvl w:val="0"/>
          <w:numId w:val="4"/>
        </w:numPr>
        <w:autoSpaceDE w:val="0"/>
        <w:autoSpaceDN w:val="0"/>
        <w:adjustRightInd w:val="0"/>
      </w:pPr>
      <w:r>
        <w:t xml:space="preserve">The anticipated total annual contract value is £550,000 </w:t>
      </w:r>
      <w:r w:rsidR="004B35D3">
        <w:t>comprising</w:t>
      </w:r>
      <w:r>
        <w:t xml:space="preserve"> £2</w:t>
      </w:r>
      <w:r w:rsidR="55D8FAC5">
        <w:t>8</w:t>
      </w:r>
      <w:r>
        <w:t xml:space="preserve">0,000 contribution from </w:t>
      </w:r>
      <w:proofErr w:type="gramStart"/>
      <w:r w:rsidR="55D8FAC5">
        <w:t>North</w:t>
      </w:r>
      <w:r w:rsidR="3A2054BE">
        <w:t xml:space="preserve"> </w:t>
      </w:r>
      <w:r w:rsidR="55D8FAC5">
        <w:t>West</w:t>
      </w:r>
      <w:proofErr w:type="gramEnd"/>
      <w:r w:rsidR="55D8FAC5">
        <w:t xml:space="preserve"> London </w:t>
      </w:r>
      <w:r w:rsidR="10504C5C">
        <w:t>ICB</w:t>
      </w:r>
      <w:r>
        <w:t xml:space="preserve"> and £2</w:t>
      </w:r>
      <w:r w:rsidR="55D8FAC5">
        <w:t>7</w:t>
      </w:r>
      <w:r>
        <w:t>0,000 Local Authority contribution.</w:t>
      </w:r>
    </w:p>
    <w:p w14:paraId="6DE5C6CA" w14:textId="230833BD" w:rsidR="004C5A79" w:rsidRDefault="004C5A79" w:rsidP="00F24C5D">
      <w:pPr>
        <w:autoSpaceDE w:val="0"/>
        <w:autoSpaceDN w:val="0"/>
        <w:adjustRightInd w:val="0"/>
      </w:pPr>
    </w:p>
    <w:p w14:paraId="0CB592FC" w14:textId="3FBB6D8F" w:rsidR="004C5A79" w:rsidRDefault="2AC7DAF9" w:rsidP="00FF5EEE">
      <w:pPr>
        <w:pStyle w:val="ListParagraph"/>
        <w:numPr>
          <w:ilvl w:val="0"/>
          <w:numId w:val="4"/>
        </w:numPr>
        <w:autoSpaceDE w:val="0"/>
        <w:autoSpaceDN w:val="0"/>
        <w:adjustRightInd w:val="0"/>
      </w:pPr>
      <w:r>
        <w:t xml:space="preserve">Financial commitment will be for 3 years plus </w:t>
      </w:r>
      <w:r w:rsidR="00FC3CE4">
        <w:t xml:space="preserve">a maximum of </w:t>
      </w:r>
      <w:r>
        <w:t>2 years extension perio</w:t>
      </w:r>
      <w:r w:rsidR="00FC3CE4">
        <w:t>ds</w:t>
      </w:r>
      <w:r w:rsidR="00737CFF">
        <w:t xml:space="preserve">.  </w:t>
      </w:r>
    </w:p>
    <w:p w14:paraId="41D80CF8" w14:textId="0D4FAB50"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5D5C8866" w14:textId="0AF37D27" w:rsidR="002C554B" w:rsidRDefault="5A5F1901" w:rsidP="00FF5EEE">
      <w:pPr>
        <w:pStyle w:val="ListParagraph"/>
        <w:numPr>
          <w:ilvl w:val="0"/>
          <w:numId w:val="4"/>
        </w:numPr>
      </w:pPr>
      <w:r>
        <w:t>Equalities Impact Assessment w</w:t>
      </w:r>
      <w:r w:rsidR="29D016EF">
        <w:t xml:space="preserve">as </w:t>
      </w:r>
      <w:r>
        <w:t>undertaken as part of the initial procurement process.</w:t>
      </w:r>
      <w:r w:rsidR="51C9EAD1">
        <w:t xml:space="preserve"> </w:t>
      </w:r>
      <w:r w:rsidR="73FCCD31">
        <w:t xml:space="preserve">The findings </w:t>
      </w:r>
      <w:r w:rsidR="29D016EF">
        <w:t xml:space="preserve">in </w:t>
      </w:r>
      <w:r w:rsidR="73FCCD31">
        <w:t xml:space="preserve">this assessment </w:t>
      </w:r>
      <w:r w:rsidR="04316186">
        <w:t xml:space="preserve">showed the </w:t>
      </w:r>
      <w:r w:rsidR="73FCCD31">
        <w:t xml:space="preserve">implications are either positive or neutral, with no adverse effect.  The service will reduce inequalities by improving access to emotional, mental health interventions to those vulnerable children and young people in Harrow. </w:t>
      </w:r>
    </w:p>
    <w:p w14:paraId="41E9AA24" w14:textId="77777777" w:rsidR="002C554B" w:rsidRDefault="002C554B" w:rsidP="002C554B"/>
    <w:p w14:paraId="24F8EEAD" w14:textId="57C0ED3D" w:rsidR="002C554B" w:rsidRDefault="73FCCD31" w:rsidP="00FF5EEE">
      <w:pPr>
        <w:pStyle w:val="ListParagraph"/>
        <w:numPr>
          <w:ilvl w:val="0"/>
          <w:numId w:val="4"/>
        </w:numPr>
      </w:pPr>
      <w:r>
        <w:t xml:space="preserve">The assessment has not identified any potential for unlawful conduct or disproportionate impact and conclude that all opportunities to advance equality are being addressed.  </w:t>
      </w:r>
    </w:p>
    <w:p w14:paraId="17B0A14E" w14:textId="77777777" w:rsidR="002C554B" w:rsidRDefault="002C554B" w:rsidP="00FA08AF"/>
    <w:p w14:paraId="33F23765" w14:textId="69C8E476" w:rsidR="003E53F3" w:rsidRDefault="51C9EAD1" w:rsidP="00FF5EEE">
      <w:pPr>
        <w:pStyle w:val="ListParagraph"/>
        <w:numPr>
          <w:ilvl w:val="0"/>
          <w:numId w:val="4"/>
        </w:numPr>
      </w:pPr>
      <w:r>
        <w:t xml:space="preserve">NHS </w:t>
      </w:r>
      <w:proofErr w:type="gramStart"/>
      <w:r>
        <w:t>North West</w:t>
      </w:r>
      <w:proofErr w:type="gramEnd"/>
      <w:r>
        <w:t xml:space="preserve"> London ICB are the leading the procurement </w:t>
      </w:r>
      <w:r w:rsidR="4A9D2577">
        <w:t xml:space="preserve">process and will complete </w:t>
      </w:r>
      <w:r w:rsidR="3C2AD80B">
        <w:t xml:space="preserve">a equality impact assessment.  </w:t>
      </w:r>
    </w:p>
    <w:p w14:paraId="3CD2D83D" w14:textId="77777777" w:rsidR="003E53F3" w:rsidRDefault="003E53F3" w:rsidP="00FA08AF"/>
    <w:p w14:paraId="7D705C5B" w14:textId="016C1698" w:rsidR="0010675C" w:rsidRPr="00FC3CE4" w:rsidRDefault="5667EC4B" w:rsidP="0010675C">
      <w:pPr>
        <w:pStyle w:val="ListParagraph"/>
        <w:numPr>
          <w:ilvl w:val="0"/>
          <w:numId w:val="14"/>
        </w:numPr>
        <w:spacing w:after="160" w:line="259" w:lineRule="auto"/>
        <w:contextualSpacing/>
        <w:rPr>
          <w:rFonts w:cs="Arial"/>
          <w:color w:val="000000"/>
          <w:szCs w:val="24"/>
        </w:rPr>
      </w:pPr>
      <w:r>
        <w:t xml:space="preserve">During the monitoring of the contracts, </w:t>
      </w:r>
      <w:r w:rsidR="00A83BF8">
        <w:t xml:space="preserve">recent </w:t>
      </w:r>
      <w:r w:rsidR="00F908CD">
        <w:t xml:space="preserve">equalities </w:t>
      </w:r>
      <w:r>
        <w:t xml:space="preserve">data on the service users since the commencement of the service </w:t>
      </w:r>
      <w:proofErr w:type="gramStart"/>
      <w:r w:rsidR="008C3289">
        <w:t>shows</w:t>
      </w:r>
      <w:r w:rsidR="00A83BF8">
        <w:t>;</w:t>
      </w:r>
      <w:proofErr w:type="gramEnd"/>
    </w:p>
    <w:p w14:paraId="2AAB7D1E" w14:textId="77777777" w:rsidR="00FC3CE4" w:rsidRPr="00324339" w:rsidRDefault="00FC3CE4" w:rsidP="00FC3CE4">
      <w:pPr>
        <w:pStyle w:val="ListParagraph"/>
        <w:spacing w:after="160" w:line="259" w:lineRule="auto"/>
        <w:ind w:left="1080"/>
        <w:contextualSpacing/>
        <w:rPr>
          <w:rFonts w:cs="Arial"/>
          <w:color w:val="000000"/>
          <w:szCs w:val="24"/>
        </w:rPr>
      </w:pPr>
    </w:p>
    <w:p w14:paraId="5A93F87B" w14:textId="1E09030E" w:rsidR="0010675C" w:rsidRPr="00324339" w:rsidRDefault="0010675C" w:rsidP="00FC3CE4">
      <w:pPr>
        <w:pStyle w:val="ListParagraph"/>
        <w:numPr>
          <w:ilvl w:val="1"/>
          <w:numId w:val="14"/>
        </w:numPr>
        <w:spacing w:after="160" w:line="259" w:lineRule="auto"/>
        <w:contextualSpacing/>
        <w:rPr>
          <w:rFonts w:cs="Arial"/>
          <w:color w:val="000000"/>
          <w:szCs w:val="24"/>
        </w:rPr>
      </w:pPr>
      <w:r w:rsidRPr="00ED2D36">
        <w:rPr>
          <w:rFonts w:cs="Arial"/>
          <w:b/>
          <w:color w:val="000000"/>
          <w:szCs w:val="24"/>
        </w:rPr>
        <w:t xml:space="preserve">Increase </w:t>
      </w:r>
      <w:r w:rsidRPr="00324339">
        <w:rPr>
          <w:rFonts w:cs="Arial"/>
          <w:color w:val="000000"/>
          <w:szCs w:val="24"/>
        </w:rPr>
        <w:t>in demand</w:t>
      </w:r>
      <w:r w:rsidR="00446CFF">
        <w:rPr>
          <w:rFonts w:cs="Arial"/>
          <w:color w:val="000000"/>
          <w:szCs w:val="24"/>
        </w:rPr>
        <w:t xml:space="preserve">, 233 referrals more in 2021/22 than in the previous year.  </w:t>
      </w:r>
    </w:p>
    <w:p w14:paraId="79B07666" w14:textId="77777777" w:rsidR="0010675C" w:rsidRDefault="0010675C" w:rsidP="00FC3CE4">
      <w:pPr>
        <w:pStyle w:val="ListParagraph"/>
        <w:numPr>
          <w:ilvl w:val="1"/>
          <w:numId w:val="14"/>
        </w:numPr>
        <w:spacing w:after="160" w:line="259" w:lineRule="auto"/>
        <w:contextualSpacing/>
        <w:rPr>
          <w:rFonts w:cs="Arial"/>
          <w:color w:val="000000"/>
          <w:szCs w:val="24"/>
        </w:rPr>
      </w:pPr>
      <w:r w:rsidRPr="00324339">
        <w:rPr>
          <w:rFonts w:cs="Arial"/>
          <w:color w:val="000000"/>
          <w:szCs w:val="24"/>
        </w:rPr>
        <w:t>Slightly more girls than boys - 54% girls, 45% boys and 1% other</w:t>
      </w:r>
    </w:p>
    <w:p w14:paraId="02DE0C50" w14:textId="02E31CAC" w:rsidR="0010675C" w:rsidRPr="009E798E" w:rsidRDefault="0010675C" w:rsidP="00FC3CE4">
      <w:pPr>
        <w:pStyle w:val="ListParagraph"/>
        <w:numPr>
          <w:ilvl w:val="1"/>
          <w:numId w:val="14"/>
        </w:numPr>
        <w:spacing w:after="160" w:line="259" w:lineRule="auto"/>
        <w:contextualSpacing/>
        <w:rPr>
          <w:rFonts w:cs="Arial"/>
          <w:color w:val="000000"/>
          <w:szCs w:val="24"/>
        </w:rPr>
      </w:pPr>
      <w:r w:rsidRPr="00ED2D36">
        <w:rPr>
          <w:rFonts w:cs="Arial"/>
          <w:b/>
          <w:color w:val="000000"/>
          <w:szCs w:val="24"/>
        </w:rPr>
        <w:t>38%</w:t>
      </w:r>
      <w:r w:rsidRPr="00324339">
        <w:rPr>
          <w:rFonts w:cs="Arial"/>
          <w:color w:val="000000"/>
          <w:szCs w:val="24"/>
        </w:rPr>
        <w:t xml:space="preserve"> </w:t>
      </w:r>
      <w:r w:rsidR="00435EFF" w:rsidRPr="00324339">
        <w:rPr>
          <w:rFonts w:cs="Arial"/>
          <w:color w:val="000000"/>
          <w:szCs w:val="24"/>
        </w:rPr>
        <w:t>5–11-year-olds</w:t>
      </w:r>
      <w:r w:rsidRPr="00324339">
        <w:rPr>
          <w:rFonts w:cs="Arial"/>
          <w:color w:val="000000"/>
          <w:szCs w:val="24"/>
        </w:rPr>
        <w:t xml:space="preserve">, </w:t>
      </w:r>
      <w:r w:rsidRPr="00ED2D36">
        <w:rPr>
          <w:rFonts w:cs="Arial"/>
          <w:b/>
          <w:color w:val="000000"/>
          <w:szCs w:val="24"/>
        </w:rPr>
        <w:t>44%</w:t>
      </w:r>
      <w:r w:rsidRPr="00324339">
        <w:rPr>
          <w:rFonts w:cs="Arial"/>
          <w:color w:val="000000"/>
          <w:szCs w:val="24"/>
        </w:rPr>
        <w:t xml:space="preserve"> </w:t>
      </w:r>
      <w:proofErr w:type="gramStart"/>
      <w:r w:rsidRPr="00324339">
        <w:rPr>
          <w:rFonts w:cs="Arial"/>
          <w:color w:val="000000"/>
          <w:szCs w:val="24"/>
        </w:rPr>
        <w:t>12-15 year olds</w:t>
      </w:r>
      <w:proofErr w:type="gramEnd"/>
      <w:r w:rsidRPr="00324339">
        <w:rPr>
          <w:rFonts w:cs="Arial"/>
          <w:color w:val="000000"/>
          <w:szCs w:val="24"/>
        </w:rPr>
        <w:t xml:space="preserve"> and with smaller percentages for the under 5’s,</w:t>
      </w:r>
      <w:r w:rsidRPr="009E798E">
        <w:rPr>
          <w:rFonts w:cs="Arial"/>
          <w:color w:val="000000"/>
          <w:szCs w:val="24"/>
        </w:rPr>
        <w:t>16- 17 year olds and with 1% 18-25 with SEND</w:t>
      </w:r>
    </w:p>
    <w:p w14:paraId="0F6998B4" w14:textId="1B8B092C" w:rsidR="0067441F" w:rsidRDefault="0067441F" w:rsidP="00A83BF8"/>
    <w:tbl>
      <w:tblPr>
        <w:tblStyle w:val="TableGrid"/>
        <w:tblW w:w="0" w:type="auto"/>
        <w:tblLook w:val="04A0" w:firstRow="1" w:lastRow="0" w:firstColumn="1" w:lastColumn="0" w:noHBand="0" w:noVBand="1"/>
      </w:tblPr>
      <w:tblGrid>
        <w:gridCol w:w="4036"/>
        <w:gridCol w:w="4263"/>
      </w:tblGrid>
      <w:tr w:rsidR="0067441F" w14:paraId="5FC1EBFB" w14:textId="77777777" w:rsidTr="003A17C7">
        <w:trPr>
          <w:trHeight w:val="3361"/>
        </w:trPr>
        <w:tc>
          <w:tcPr>
            <w:tcW w:w="5115" w:type="dxa"/>
          </w:tcPr>
          <w:p w14:paraId="0295B477" w14:textId="77777777" w:rsidR="0067441F" w:rsidRDefault="0067441F" w:rsidP="003A17C7">
            <w:pPr>
              <w:rPr>
                <w:rFonts w:cs="Arial"/>
                <w:b/>
                <w:bCs/>
                <w:color w:val="000000"/>
                <w:szCs w:val="24"/>
                <w:u w:val="single"/>
              </w:rPr>
            </w:pPr>
            <w:r w:rsidRPr="00324339">
              <w:rPr>
                <w:rFonts w:cs="Arial"/>
                <w:b/>
                <w:bCs/>
                <w:color w:val="000000"/>
                <w:szCs w:val="24"/>
                <w:u w:val="single"/>
              </w:rPr>
              <w:lastRenderedPageBreak/>
              <w:t>Ethnicity Data</w:t>
            </w:r>
          </w:p>
          <w:p w14:paraId="4438E9EF" w14:textId="77777777" w:rsidR="0067441F" w:rsidRDefault="0067441F" w:rsidP="003A17C7">
            <w:pPr>
              <w:rPr>
                <w:rFonts w:cs="Arial"/>
                <w:color w:val="000000"/>
                <w:szCs w:val="24"/>
              </w:rPr>
            </w:pPr>
          </w:p>
          <w:tbl>
            <w:tblPr>
              <w:tblW w:w="4274" w:type="dxa"/>
              <w:tblCellMar>
                <w:left w:w="0" w:type="dxa"/>
                <w:right w:w="0" w:type="dxa"/>
              </w:tblCellMar>
              <w:tblLook w:val="04A0" w:firstRow="1" w:lastRow="0" w:firstColumn="1" w:lastColumn="0" w:noHBand="0" w:noVBand="1"/>
            </w:tblPr>
            <w:tblGrid>
              <w:gridCol w:w="2937"/>
              <w:gridCol w:w="1337"/>
            </w:tblGrid>
            <w:tr w:rsidR="0067441F" w:rsidRPr="00324339" w14:paraId="6C5C3D3F" w14:textId="77777777" w:rsidTr="003A17C7">
              <w:trPr>
                <w:trHeight w:val="415"/>
              </w:trPr>
              <w:tc>
                <w:tcPr>
                  <w:tcW w:w="293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6735236" w14:textId="77777777" w:rsidR="0067441F" w:rsidRPr="00324339" w:rsidRDefault="0067441F" w:rsidP="003A17C7">
                  <w:pPr>
                    <w:rPr>
                      <w:rFonts w:cs="Arial"/>
                      <w:color w:val="000000"/>
                      <w:sz w:val="20"/>
                    </w:rPr>
                  </w:pPr>
                  <w:r w:rsidRPr="00324339">
                    <w:rPr>
                      <w:rFonts w:cs="Arial"/>
                      <w:b/>
                      <w:bCs/>
                      <w:color w:val="000000"/>
                      <w:sz w:val="20"/>
                    </w:rPr>
                    <w:t xml:space="preserve">Asian or Asian British: </w:t>
                  </w:r>
                </w:p>
                <w:p w14:paraId="2125D10A" w14:textId="77777777" w:rsidR="0067441F" w:rsidRPr="00324339" w:rsidRDefault="0067441F" w:rsidP="003A17C7">
                  <w:pPr>
                    <w:rPr>
                      <w:rFonts w:cs="Arial"/>
                      <w:color w:val="000000"/>
                      <w:sz w:val="20"/>
                    </w:rPr>
                  </w:pPr>
                  <w:r w:rsidRPr="00324339">
                    <w:rPr>
                      <w:rFonts w:cs="Arial"/>
                      <w:b/>
                      <w:bCs/>
                      <w:color w:val="000000"/>
                      <w:sz w:val="20"/>
                    </w:rPr>
                    <w:t> </w:t>
                  </w:r>
                </w:p>
              </w:tc>
              <w:tc>
                <w:tcPr>
                  <w:tcW w:w="133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2D123EE" w14:textId="77777777" w:rsidR="0067441F" w:rsidRPr="00ED2D36" w:rsidRDefault="0067441F" w:rsidP="003A17C7">
                  <w:pPr>
                    <w:rPr>
                      <w:rFonts w:cs="Arial"/>
                      <w:color w:val="000000"/>
                      <w:sz w:val="20"/>
                    </w:rPr>
                  </w:pPr>
                  <w:r w:rsidRPr="00ED2D36">
                    <w:rPr>
                      <w:rFonts w:cs="Arial"/>
                      <w:bCs/>
                      <w:color w:val="000000"/>
                      <w:sz w:val="20"/>
                    </w:rPr>
                    <w:t>36%</w:t>
                  </w:r>
                </w:p>
              </w:tc>
            </w:tr>
            <w:tr w:rsidR="0067441F" w:rsidRPr="00324339" w14:paraId="27F2934E" w14:textId="77777777" w:rsidTr="003A17C7">
              <w:trPr>
                <w:trHeight w:val="415"/>
              </w:trPr>
              <w:tc>
                <w:tcPr>
                  <w:tcW w:w="2937"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9A68749" w14:textId="77777777" w:rsidR="0067441F" w:rsidRPr="00324339" w:rsidRDefault="0067441F" w:rsidP="003A17C7">
                  <w:pPr>
                    <w:rPr>
                      <w:rFonts w:cs="Arial"/>
                      <w:color w:val="000000"/>
                      <w:sz w:val="20"/>
                    </w:rPr>
                  </w:pPr>
                  <w:r w:rsidRPr="00324339">
                    <w:rPr>
                      <w:rFonts w:cs="Arial"/>
                      <w:b/>
                      <w:bCs/>
                      <w:color w:val="000000"/>
                      <w:sz w:val="20"/>
                    </w:rPr>
                    <w:t xml:space="preserve">White or White British: </w:t>
                  </w:r>
                </w:p>
                <w:p w14:paraId="74A0B67C" w14:textId="77777777" w:rsidR="0067441F" w:rsidRPr="00324339" w:rsidRDefault="0067441F" w:rsidP="003A17C7">
                  <w:pPr>
                    <w:rPr>
                      <w:rFonts w:cs="Arial"/>
                      <w:color w:val="000000"/>
                      <w:sz w:val="20"/>
                    </w:rPr>
                  </w:pPr>
                  <w:r w:rsidRPr="00324339">
                    <w:rPr>
                      <w:rFonts w:cs="Arial"/>
                      <w:b/>
                      <w:bCs/>
                      <w:color w:val="000000"/>
                      <w:sz w:val="20"/>
                    </w:rPr>
                    <w:t> </w:t>
                  </w:r>
                </w:p>
              </w:tc>
              <w:tc>
                <w:tcPr>
                  <w:tcW w:w="133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485B160" w14:textId="77777777" w:rsidR="0067441F" w:rsidRPr="00324339" w:rsidRDefault="0067441F" w:rsidP="003A17C7">
                  <w:pPr>
                    <w:rPr>
                      <w:rFonts w:cs="Arial"/>
                      <w:color w:val="000000"/>
                      <w:sz w:val="20"/>
                    </w:rPr>
                  </w:pPr>
                  <w:r w:rsidRPr="00324339">
                    <w:rPr>
                      <w:rFonts w:cs="Arial"/>
                      <w:color w:val="000000"/>
                      <w:sz w:val="20"/>
                    </w:rPr>
                    <w:t>34%</w:t>
                  </w:r>
                </w:p>
              </w:tc>
            </w:tr>
            <w:tr w:rsidR="0067441F" w:rsidRPr="00324339" w14:paraId="5D8B0D55" w14:textId="77777777" w:rsidTr="003A17C7">
              <w:trPr>
                <w:trHeight w:val="415"/>
              </w:trPr>
              <w:tc>
                <w:tcPr>
                  <w:tcW w:w="29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009F29A" w14:textId="77777777" w:rsidR="0067441F" w:rsidRPr="00324339" w:rsidRDefault="0067441F" w:rsidP="003A17C7">
                  <w:pPr>
                    <w:rPr>
                      <w:rFonts w:cs="Arial"/>
                      <w:color w:val="000000"/>
                      <w:sz w:val="20"/>
                    </w:rPr>
                  </w:pPr>
                  <w:r w:rsidRPr="00324339">
                    <w:rPr>
                      <w:rFonts w:cs="Arial"/>
                      <w:b/>
                      <w:bCs/>
                      <w:color w:val="000000"/>
                      <w:sz w:val="20"/>
                    </w:rPr>
                    <w:t xml:space="preserve">Mixed Race: </w:t>
                  </w:r>
                </w:p>
                <w:p w14:paraId="38ACBA90" w14:textId="77777777" w:rsidR="0067441F" w:rsidRPr="00324339" w:rsidRDefault="0067441F" w:rsidP="003A17C7">
                  <w:pPr>
                    <w:rPr>
                      <w:rFonts w:cs="Arial"/>
                      <w:color w:val="000000"/>
                      <w:sz w:val="20"/>
                    </w:rPr>
                  </w:pPr>
                  <w:r w:rsidRPr="00324339">
                    <w:rPr>
                      <w:rFonts w:cs="Arial"/>
                      <w:b/>
                      <w:bCs/>
                      <w:color w:val="000000"/>
                      <w:sz w:val="20"/>
                    </w:rPr>
                    <w:t> </w:t>
                  </w:r>
                </w:p>
              </w:tc>
              <w:tc>
                <w:tcPr>
                  <w:tcW w:w="13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57DFE21" w14:textId="77777777" w:rsidR="0067441F" w:rsidRPr="00324339" w:rsidRDefault="0067441F" w:rsidP="003A17C7">
                  <w:pPr>
                    <w:rPr>
                      <w:rFonts w:cs="Arial"/>
                      <w:color w:val="000000"/>
                      <w:sz w:val="20"/>
                    </w:rPr>
                  </w:pPr>
                  <w:r w:rsidRPr="00324339">
                    <w:rPr>
                      <w:rFonts w:cs="Arial"/>
                      <w:color w:val="000000"/>
                      <w:sz w:val="20"/>
                    </w:rPr>
                    <w:t>13%</w:t>
                  </w:r>
                </w:p>
              </w:tc>
            </w:tr>
            <w:tr w:rsidR="0067441F" w:rsidRPr="00324339" w14:paraId="69D7AEA2" w14:textId="77777777" w:rsidTr="003A17C7">
              <w:trPr>
                <w:trHeight w:val="415"/>
              </w:trPr>
              <w:tc>
                <w:tcPr>
                  <w:tcW w:w="29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A8B4B73" w14:textId="77777777" w:rsidR="0067441F" w:rsidRPr="00324339" w:rsidRDefault="0067441F" w:rsidP="003A17C7">
                  <w:pPr>
                    <w:rPr>
                      <w:rFonts w:cs="Arial"/>
                      <w:color w:val="000000"/>
                      <w:sz w:val="20"/>
                    </w:rPr>
                  </w:pPr>
                  <w:r w:rsidRPr="00324339">
                    <w:rPr>
                      <w:rFonts w:cs="Arial"/>
                      <w:b/>
                      <w:bCs/>
                      <w:color w:val="000000"/>
                      <w:sz w:val="20"/>
                    </w:rPr>
                    <w:t xml:space="preserve">Black or Black British: </w:t>
                  </w:r>
                </w:p>
                <w:p w14:paraId="0CDA3EE4" w14:textId="77777777" w:rsidR="0067441F" w:rsidRPr="00324339" w:rsidRDefault="0067441F" w:rsidP="003A17C7">
                  <w:pPr>
                    <w:rPr>
                      <w:rFonts w:cs="Arial"/>
                      <w:color w:val="000000"/>
                      <w:sz w:val="20"/>
                    </w:rPr>
                  </w:pPr>
                  <w:r w:rsidRPr="00324339">
                    <w:rPr>
                      <w:rFonts w:cs="Arial"/>
                      <w:b/>
                      <w:bCs/>
                      <w:color w:val="000000"/>
                      <w:sz w:val="20"/>
                    </w:rPr>
                    <w:t> </w:t>
                  </w:r>
                </w:p>
              </w:tc>
              <w:tc>
                <w:tcPr>
                  <w:tcW w:w="13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BAB6894" w14:textId="77777777" w:rsidR="0067441F" w:rsidRPr="00324339" w:rsidRDefault="0067441F" w:rsidP="003A17C7">
                  <w:pPr>
                    <w:rPr>
                      <w:rFonts w:cs="Arial"/>
                      <w:color w:val="000000"/>
                      <w:sz w:val="20"/>
                    </w:rPr>
                  </w:pPr>
                  <w:r w:rsidRPr="00324339">
                    <w:rPr>
                      <w:rFonts w:cs="Arial"/>
                      <w:color w:val="000000"/>
                      <w:sz w:val="20"/>
                    </w:rPr>
                    <w:t>9%</w:t>
                  </w:r>
                </w:p>
              </w:tc>
            </w:tr>
            <w:tr w:rsidR="0067441F" w:rsidRPr="00324339" w14:paraId="4279FEE2" w14:textId="77777777" w:rsidTr="003A17C7">
              <w:trPr>
                <w:trHeight w:val="415"/>
              </w:trPr>
              <w:tc>
                <w:tcPr>
                  <w:tcW w:w="293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25377E3" w14:textId="77777777" w:rsidR="0067441F" w:rsidRPr="00324339" w:rsidRDefault="0067441F" w:rsidP="003A17C7">
                  <w:pPr>
                    <w:rPr>
                      <w:rFonts w:cs="Arial"/>
                      <w:color w:val="000000"/>
                      <w:sz w:val="20"/>
                    </w:rPr>
                  </w:pPr>
                  <w:r w:rsidRPr="00324339">
                    <w:rPr>
                      <w:rFonts w:cs="Arial"/>
                      <w:b/>
                      <w:bCs/>
                      <w:color w:val="000000"/>
                      <w:sz w:val="20"/>
                    </w:rPr>
                    <w:t xml:space="preserve">Other Ethnic Identity: </w:t>
                  </w:r>
                </w:p>
                <w:p w14:paraId="272AFCAF" w14:textId="77777777" w:rsidR="0067441F" w:rsidRPr="00324339" w:rsidRDefault="0067441F" w:rsidP="003A17C7">
                  <w:pPr>
                    <w:rPr>
                      <w:rFonts w:cs="Arial"/>
                      <w:color w:val="000000"/>
                      <w:sz w:val="20"/>
                    </w:rPr>
                  </w:pPr>
                  <w:r w:rsidRPr="00324339">
                    <w:rPr>
                      <w:rFonts w:cs="Arial"/>
                      <w:b/>
                      <w:bCs/>
                      <w:color w:val="000000"/>
                      <w:sz w:val="20"/>
                    </w:rPr>
                    <w:t> </w:t>
                  </w:r>
                </w:p>
              </w:tc>
              <w:tc>
                <w:tcPr>
                  <w:tcW w:w="13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72C8869" w14:textId="77777777" w:rsidR="0067441F" w:rsidRPr="00324339" w:rsidRDefault="0067441F" w:rsidP="003A17C7">
                  <w:pPr>
                    <w:rPr>
                      <w:rFonts w:cs="Arial"/>
                      <w:color w:val="000000"/>
                      <w:sz w:val="20"/>
                    </w:rPr>
                  </w:pPr>
                  <w:r w:rsidRPr="00324339">
                    <w:rPr>
                      <w:rFonts w:cs="Arial"/>
                      <w:color w:val="000000"/>
                      <w:sz w:val="20"/>
                    </w:rPr>
                    <w:t>8%</w:t>
                  </w:r>
                </w:p>
              </w:tc>
            </w:tr>
          </w:tbl>
          <w:p w14:paraId="5D33FCAA" w14:textId="77777777" w:rsidR="0067441F" w:rsidRDefault="0067441F" w:rsidP="003A17C7">
            <w:pPr>
              <w:rPr>
                <w:rFonts w:cs="Arial"/>
                <w:color w:val="000000"/>
                <w:szCs w:val="24"/>
              </w:rPr>
            </w:pPr>
          </w:p>
        </w:tc>
        <w:tc>
          <w:tcPr>
            <w:tcW w:w="5115" w:type="dxa"/>
          </w:tcPr>
          <w:p w14:paraId="2E70FA6C" w14:textId="77777777" w:rsidR="0067441F" w:rsidRPr="00324339" w:rsidRDefault="0067441F" w:rsidP="003A17C7">
            <w:pPr>
              <w:rPr>
                <w:rFonts w:cs="Arial"/>
                <w:b/>
                <w:bCs/>
                <w:color w:val="000000"/>
                <w:szCs w:val="24"/>
                <w:u w:val="single"/>
              </w:rPr>
            </w:pPr>
            <w:r w:rsidRPr="00324339">
              <w:rPr>
                <w:rFonts w:cs="Arial"/>
                <w:b/>
                <w:bCs/>
                <w:color w:val="000000"/>
                <w:szCs w:val="24"/>
                <w:u w:val="single"/>
              </w:rPr>
              <w:t>Disability Data</w:t>
            </w:r>
          </w:p>
          <w:p w14:paraId="3F43D3F5" w14:textId="77777777" w:rsidR="0067441F" w:rsidRDefault="0067441F" w:rsidP="003A17C7">
            <w:pPr>
              <w:rPr>
                <w:rFonts w:cs="Arial"/>
                <w:color w:val="000000"/>
                <w:szCs w:val="24"/>
              </w:rPr>
            </w:pPr>
          </w:p>
          <w:tbl>
            <w:tblPr>
              <w:tblW w:w="4534" w:type="dxa"/>
              <w:tblCellMar>
                <w:left w:w="0" w:type="dxa"/>
                <w:right w:w="0" w:type="dxa"/>
              </w:tblCellMar>
              <w:tblLook w:val="04A0" w:firstRow="1" w:lastRow="0" w:firstColumn="1" w:lastColumn="0" w:noHBand="0" w:noVBand="1"/>
            </w:tblPr>
            <w:tblGrid>
              <w:gridCol w:w="3258"/>
              <w:gridCol w:w="1276"/>
            </w:tblGrid>
            <w:tr w:rsidR="0067441F" w:rsidRPr="00324339" w14:paraId="50FE97B5" w14:textId="77777777" w:rsidTr="003A17C7">
              <w:trPr>
                <w:trHeight w:val="172"/>
              </w:trPr>
              <w:tc>
                <w:tcPr>
                  <w:tcW w:w="32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82725DD" w14:textId="77777777" w:rsidR="0067441F" w:rsidRPr="00E808A1" w:rsidRDefault="0067441F" w:rsidP="003A17C7">
                  <w:pPr>
                    <w:rPr>
                      <w:rFonts w:cs="Arial"/>
                      <w:b/>
                      <w:bCs/>
                      <w:color w:val="000000"/>
                      <w:sz w:val="20"/>
                    </w:rPr>
                  </w:pPr>
                  <w:r w:rsidRPr="00E808A1">
                    <w:rPr>
                      <w:rFonts w:cs="Arial"/>
                      <w:b/>
                      <w:bCs/>
                      <w:color w:val="000000"/>
                      <w:sz w:val="20"/>
                    </w:rPr>
                    <w:t>Total % of CYP with Known Disability</w:t>
                  </w:r>
                </w:p>
              </w:tc>
              <w:tc>
                <w:tcPr>
                  <w:tcW w:w="127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00E44A2F" w14:textId="77777777" w:rsidR="0067441F" w:rsidRPr="00ED2D36" w:rsidRDefault="0067441F" w:rsidP="003A17C7">
                  <w:pPr>
                    <w:rPr>
                      <w:rFonts w:cs="Arial"/>
                      <w:bCs/>
                      <w:color w:val="000000"/>
                      <w:sz w:val="20"/>
                    </w:rPr>
                  </w:pPr>
                  <w:r w:rsidRPr="00ED2D36">
                    <w:rPr>
                      <w:rFonts w:cs="Arial"/>
                      <w:bCs/>
                      <w:color w:val="000000"/>
                      <w:sz w:val="20"/>
                    </w:rPr>
                    <w:t>11% of all referrals</w:t>
                  </w:r>
                </w:p>
              </w:tc>
            </w:tr>
            <w:tr w:rsidR="0067441F" w:rsidRPr="00324339" w14:paraId="45565AA4" w14:textId="77777777" w:rsidTr="003A17C7">
              <w:trPr>
                <w:trHeight w:val="150"/>
              </w:trPr>
              <w:tc>
                <w:tcPr>
                  <w:tcW w:w="325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20EE228" w14:textId="77777777" w:rsidR="0067441F" w:rsidRPr="00E808A1" w:rsidRDefault="0067441F" w:rsidP="003A17C7">
                  <w:pPr>
                    <w:rPr>
                      <w:rFonts w:cs="Arial"/>
                      <w:b/>
                      <w:bCs/>
                      <w:color w:val="000000"/>
                      <w:sz w:val="20"/>
                    </w:rPr>
                  </w:pPr>
                  <w:r w:rsidRPr="00E808A1">
                    <w:rPr>
                      <w:rFonts w:cs="Arial"/>
                      <w:b/>
                      <w:bCs/>
                      <w:color w:val="000000"/>
                      <w:sz w:val="20"/>
                    </w:rPr>
                    <w:t xml:space="preserve">ASD: </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006F0F3" w14:textId="77777777" w:rsidR="0067441F" w:rsidRPr="00ED2D36" w:rsidRDefault="0067441F" w:rsidP="003A17C7">
                  <w:pPr>
                    <w:rPr>
                      <w:rFonts w:cs="Arial"/>
                      <w:bCs/>
                      <w:color w:val="000000"/>
                      <w:sz w:val="20"/>
                    </w:rPr>
                  </w:pPr>
                  <w:r w:rsidRPr="00ED2D36">
                    <w:rPr>
                      <w:rFonts w:cs="Arial"/>
                      <w:bCs/>
                      <w:color w:val="000000"/>
                      <w:sz w:val="20"/>
                    </w:rPr>
                    <w:t>41%</w:t>
                  </w:r>
                </w:p>
              </w:tc>
            </w:tr>
            <w:tr w:rsidR="0067441F" w:rsidRPr="00324339" w14:paraId="76F46B3E" w14:textId="77777777" w:rsidTr="003A17C7">
              <w:trPr>
                <w:trHeight w:val="186"/>
              </w:trPr>
              <w:tc>
                <w:tcPr>
                  <w:tcW w:w="3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CE0208B" w14:textId="77777777" w:rsidR="0067441F" w:rsidRPr="00E808A1" w:rsidRDefault="0067441F" w:rsidP="003A17C7">
                  <w:pPr>
                    <w:rPr>
                      <w:rFonts w:cs="Arial"/>
                      <w:b/>
                      <w:bCs/>
                      <w:color w:val="000000"/>
                      <w:sz w:val="20"/>
                    </w:rPr>
                  </w:pPr>
                  <w:r w:rsidRPr="00E808A1">
                    <w:rPr>
                      <w:rFonts w:cs="Arial"/>
                      <w:b/>
                      <w:bCs/>
                      <w:color w:val="000000"/>
                      <w:sz w:val="20"/>
                    </w:rPr>
                    <w:t>ADHD:</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D4D3B9A" w14:textId="77777777" w:rsidR="0067441F" w:rsidRPr="00ED2D36" w:rsidRDefault="0067441F" w:rsidP="003A17C7">
                  <w:pPr>
                    <w:rPr>
                      <w:rFonts w:cs="Arial"/>
                      <w:bCs/>
                      <w:color w:val="000000"/>
                      <w:sz w:val="20"/>
                    </w:rPr>
                  </w:pPr>
                  <w:r w:rsidRPr="00ED2D36">
                    <w:rPr>
                      <w:rFonts w:cs="Arial"/>
                      <w:bCs/>
                      <w:color w:val="000000"/>
                      <w:sz w:val="20"/>
                    </w:rPr>
                    <w:t>29%</w:t>
                  </w:r>
                </w:p>
              </w:tc>
            </w:tr>
            <w:tr w:rsidR="0067441F" w:rsidRPr="00324339" w14:paraId="73A66A87" w14:textId="77777777" w:rsidTr="003A17C7">
              <w:trPr>
                <w:trHeight w:val="194"/>
              </w:trPr>
              <w:tc>
                <w:tcPr>
                  <w:tcW w:w="3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9C323BC" w14:textId="77777777" w:rsidR="0067441F" w:rsidRPr="00E808A1" w:rsidRDefault="0067441F" w:rsidP="003A17C7">
                  <w:pPr>
                    <w:rPr>
                      <w:rFonts w:cs="Arial"/>
                      <w:b/>
                      <w:bCs/>
                      <w:color w:val="000000"/>
                      <w:sz w:val="20"/>
                    </w:rPr>
                  </w:pPr>
                  <w:r w:rsidRPr="00E808A1">
                    <w:rPr>
                      <w:rFonts w:cs="Arial"/>
                      <w:b/>
                      <w:bCs/>
                      <w:color w:val="000000"/>
                      <w:sz w:val="20"/>
                    </w:rPr>
                    <w:t xml:space="preserve">Learning Disability: </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E3EA0A9" w14:textId="77777777" w:rsidR="0067441F" w:rsidRPr="00ED2D36" w:rsidRDefault="0067441F" w:rsidP="003A17C7">
                  <w:pPr>
                    <w:rPr>
                      <w:rFonts w:cs="Arial"/>
                      <w:bCs/>
                      <w:color w:val="000000"/>
                      <w:sz w:val="20"/>
                    </w:rPr>
                  </w:pPr>
                  <w:r w:rsidRPr="00ED2D36">
                    <w:rPr>
                      <w:rFonts w:cs="Arial"/>
                      <w:bCs/>
                      <w:color w:val="000000"/>
                      <w:sz w:val="20"/>
                    </w:rPr>
                    <w:t>13%</w:t>
                  </w:r>
                </w:p>
              </w:tc>
            </w:tr>
            <w:tr w:rsidR="0067441F" w:rsidRPr="00324339" w14:paraId="6355D0B4" w14:textId="77777777" w:rsidTr="003A17C7">
              <w:trPr>
                <w:trHeight w:val="158"/>
              </w:trPr>
              <w:tc>
                <w:tcPr>
                  <w:tcW w:w="3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251B60D" w14:textId="77777777" w:rsidR="0067441F" w:rsidRPr="00E808A1" w:rsidRDefault="0067441F" w:rsidP="003A17C7">
                  <w:pPr>
                    <w:rPr>
                      <w:rFonts w:cs="Arial"/>
                      <w:b/>
                      <w:bCs/>
                      <w:color w:val="000000"/>
                      <w:sz w:val="20"/>
                    </w:rPr>
                  </w:pPr>
                  <w:r w:rsidRPr="00E808A1">
                    <w:rPr>
                      <w:rFonts w:cs="Arial"/>
                      <w:b/>
                      <w:bCs/>
                      <w:color w:val="000000"/>
                      <w:sz w:val="20"/>
                    </w:rPr>
                    <w:t xml:space="preserve">Physical Disability: </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3C1F80D" w14:textId="77777777" w:rsidR="0067441F" w:rsidRPr="00ED2D36" w:rsidRDefault="0067441F" w:rsidP="003A17C7">
                  <w:pPr>
                    <w:rPr>
                      <w:rFonts w:cs="Arial"/>
                      <w:bCs/>
                      <w:color w:val="000000"/>
                      <w:sz w:val="20"/>
                    </w:rPr>
                  </w:pPr>
                  <w:r w:rsidRPr="00ED2D36">
                    <w:rPr>
                      <w:rFonts w:cs="Arial"/>
                      <w:bCs/>
                      <w:color w:val="000000"/>
                      <w:sz w:val="20"/>
                    </w:rPr>
                    <w:t>6%</w:t>
                  </w:r>
                </w:p>
              </w:tc>
            </w:tr>
            <w:tr w:rsidR="0067441F" w:rsidRPr="00324339" w14:paraId="1A1C2CAF" w14:textId="77777777" w:rsidTr="003A17C7">
              <w:trPr>
                <w:trHeight w:val="585"/>
              </w:trPr>
              <w:tc>
                <w:tcPr>
                  <w:tcW w:w="3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E347C41" w14:textId="77777777" w:rsidR="0067441F" w:rsidRPr="00E808A1" w:rsidRDefault="0067441F" w:rsidP="003A17C7">
                  <w:pPr>
                    <w:rPr>
                      <w:rFonts w:cs="Arial"/>
                      <w:b/>
                      <w:bCs/>
                      <w:color w:val="000000"/>
                      <w:sz w:val="20"/>
                    </w:rPr>
                  </w:pPr>
                  <w:proofErr w:type="gramStart"/>
                  <w:r w:rsidRPr="00E808A1">
                    <w:rPr>
                      <w:rFonts w:cs="Arial"/>
                      <w:b/>
                      <w:bCs/>
                      <w:color w:val="000000"/>
                      <w:sz w:val="20"/>
                    </w:rPr>
                    <w:t>Others  Complex</w:t>
                  </w:r>
                  <w:proofErr w:type="gramEnd"/>
                  <w:r w:rsidRPr="00E808A1">
                    <w:rPr>
                      <w:rFonts w:cs="Arial"/>
                      <w:b/>
                      <w:bCs/>
                      <w:color w:val="000000"/>
                      <w:sz w:val="20"/>
                    </w:rPr>
                    <w:t xml:space="preserve"> or Multiple Needs, Sensory Impairment, Behavioural Disability, speech, language or communication </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E8FB4E8" w14:textId="77777777" w:rsidR="0067441F" w:rsidRPr="00ED2D36" w:rsidRDefault="0067441F" w:rsidP="003A17C7">
                  <w:pPr>
                    <w:rPr>
                      <w:rFonts w:cs="Arial"/>
                      <w:bCs/>
                      <w:color w:val="000000"/>
                      <w:sz w:val="20"/>
                    </w:rPr>
                  </w:pPr>
                  <w:r w:rsidRPr="00ED2D36">
                    <w:rPr>
                      <w:rFonts w:cs="Arial"/>
                      <w:bCs/>
                      <w:color w:val="000000"/>
                      <w:sz w:val="20"/>
                    </w:rPr>
                    <w:t>11%</w:t>
                  </w:r>
                </w:p>
              </w:tc>
            </w:tr>
          </w:tbl>
          <w:p w14:paraId="45EAE78D" w14:textId="77777777" w:rsidR="0067441F" w:rsidRDefault="0067441F" w:rsidP="003A17C7">
            <w:pPr>
              <w:rPr>
                <w:rFonts w:cs="Arial"/>
                <w:color w:val="000000"/>
                <w:szCs w:val="24"/>
              </w:rPr>
            </w:pPr>
          </w:p>
        </w:tc>
      </w:tr>
    </w:tbl>
    <w:p w14:paraId="5514D939" w14:textId="77777777" w:rsidR="00333FAA" w:rsidRDefault="00333FAA" w:rsidP="000B7C66">
      <w:pPr>
        <w:pStyle w:val="Heading2"/>
        <w:spacing w:before="480" w:after="240"/>
      </w:pPr>
      <w:r>
        <w:t>Section 3 - Statutory Officer Clearance</w:t>
      </w:r>
    </w:p>
    <w:p w14:paraId="3B5D52F9" w14:textId="6F3F2271" w:rsidR="00A66326" w:rsidRPr="00A66326" w:rsidRDefault="00A66326" w:rsidP="00A66326">
      <w:pPr>
        <w:rPr>
          <w:sz w:val="28"/>
        </w:rPr>
      </w:pPr>
      <w:r w:rsidRPr="00A66326">
        <w:rPr>
          <w:b/>
          <w:sz w:val="28"/>
        </w:rPr>
        <w:t xml:space="preserve">Statutory Officer:  </w:t>
      </w:r>
      <w:r w:rsidR="000C6758">
        <w:rPr>
          <w:b/>
          <w:sz w:val="28"/>
        </w:rPr>
        <w:t>Jo Frost</w:t>
      </w:r>
    </w:p>
    <w:p w14:paraId="33977AD6" w14:textId="0A4A8916" w:rsidR="00A66326" w:rsidRPr="00A66326" w:rsidRDefault="00A66326" w:rsidP="00A66326">
      <w:pPr>
        <w:rPr>
          <w:sz w:val="28"/>
        </w:rPr>
      </w:pPr>
      <w:r w:rsidRPr="00A66326">
        <w:t>Signed on behalf of the Chief Financial Officer</w:t>
      </w:r>
    </w:p>
    <w:p w14:paraId="555021EF" w14:textId="2B6E89FB" w:rsidR="00A66326" w:rsidRPr="000C6758" w:rsidRDefault="00A66326" w:rsidP="00A66326">
      <w:pPr>
        <w:spacing w:after="480"/>
        <w:rPr>
          <w:bCs/>
          <w:sz w:val="28"/>
        </w:rPr>
      </w:pPr>
      <w:r w:rsidRPr="00A66326">
        <w:rPr>
          <w:b/>
          <w:sz w:val="28"/>
        </w:rPr>
        <w:t xml:space="preserve">Date:  </w:t>
      </w:r>
      <w:r w:rsidR="000C6758">
        <w:rPr>
          <w:bCs/>
          <w:sz w:val="28"/>
        </w:rPr>
        <w:t>16 August 2022</w:t>
      </w:r>
    </w:p>
    <w:p w14:paraId="7E329E85" w14:textId="3044AA16" w:rsidR="00A66326" w:rsidRPr="00A66326" w:rsidRDefault="00A66326" w:rsidP="00A66326">
      <w:pPr>
        <w:rPr>
          <w:sz w:val="28"/>
        </w:rPr>
      </w:pPr>
      <w:r w:rsidRPr="00A66326">
        <w:rPr>
          <w:b/>
          <w:sz w:val="28"/>
        </w:rPr>
        <w:t xml:space="preserve">Statutory Officer:  </w:t>
      </w:r>
      <w:r w:rsidR="008504E7">
        <w:rPr>
          <w:b/>
          <w:sz w:val="28"/>
        </w:rPr>
        <w:t>Puja Shah</w:t>
      </w:r>
    </w:p>
    <w:p w14:paraId="76E71941" w14:textId="6879D51A" w:rsidR="00A66326" w:rsidRPr="00A66326" w:rsidRDefault="00A66326" w:rsidP="00A66326">
      <w:pPr>
        <w:rPr>
          <w:sz w:val="28"/>
        </w:rPr>
      </w:pPr>
      <w:r w:rsidRPr="00A66326">
        <w:t xml:space="preserve">Signed on </w:t>
      </w:r>
      <w:r w:rsidR="008504E7">
        <w:t>b</w:t>
      </w:r>
      <w:r w:rsidRPr="00A66326">
        <w:t>ehalf of the Monitoring Officer</w:t>
      </w:r>
    </w:p>
    <w:p w14:paraId="1AC0D358" w14:textId="67A77001" w:rsidR="00A66326" w:rsidRPr="008504E7" w:rsidRDefault="00A66326" w:rsidP="00A66326">
      <w:pPr>
        <w:spacing w:after="480"/>
        <w:rPr>
          <w:bCs/>
          <w:sz w:val="28"/>
        </w:rPr>
      </w:pPr>
      <w:r w:rsidRPr="00A66326">
        <w:rPr>
          <w:b/>
          <w:sz w:val="28"/>
        </w:rPr>
        <w:t xml:space="preserve">Date:  </w:t>
      </w:r>
      <w:r w:rsidR="008504E7" w:rsidRPr="008504E7">
        <w:rPr>
          <w:bCs/>
          <w:sz w:val="28"/>
        </w:rPr>
        <w:t>26 August 2022</w:t>
      </w:r>
    </w:p>
    <w:p w14:paraId="31D8FA55" w14:textId="227DB08A" w:rsidR="00BF5AFA" w:rsidRPr="00A66326" w:rsidRDefault="00BF5AFA" w:rsidP="00BF5AFA">
      <w:pPr>
        <w:rPr>
          <w:sz w:val="28"/>
        </w:rPr>
      </w:pPr>
      <w:r>
        <w:rPr>
          <w:b/>
          <w:sz w:val="28"/>
        </w:rPr>
        <w:t>Chief</w:t>
      </w:r>
      <w:r w:rsidRPr="00A66326">
        <w:rPr>
          <w:b/>
          <w:sz w:val="28"/>
        </w:rPr>
        <w:t xml:space="preserve"> Officer:  </w:t>
      </w:r>
      <w:r w:rsidR="00200F66">
        <w:rPr>
          <w:b/>
          <w:sz w:val="28"/>
        </w:rPr>
        <w:t>Peter Tolley</w:t>
      </w:r>
    </w:p>
    <w:p w14:paraId="34A60057" w14:textId="24F1248F" w:rsidR="00BF5AFA" w:rsidRPr="00A66326" w:rsidRDefault="00BF5AFA" w:rsidP="00BF5AFA">
      <w:pPr>
        <w:rPr>
          <w:sz w:val="28"/>
        </w:rPr>
      </w:pPr>
      <w:r w:rsidRPr="00A66326">
        <w:t xml:space="preserve">Signed </w:t>
      </w:r>
      <w:r>
        <w:t>off by the Director</w:t>
      </w:r>
    </w:p>
    <w:p w14:paraId="5F67CDF0" w14:textId="54C72816" w:rsidR="00BF5AFA" w:rsidRPr="00E56A93" w:rsidRDefault="00BF5AFA" w:rsidP="00BF5AFA">
      <w:pPr>
        <w:spacing w:after="480"/>
        <w:rPr>
          <w:bCs/>
          <w:sz w:val="28"/>
        </w:rPr>
      </w:pPr>
      <w:r w:rsidRPr="00A66326">
        <w:rPr>
          <w:b/>
          <w:sz w:val="28"/>
        </w:rPr>
        <w:t xml:space="preserve">Date:  </w:t>
      </w:r>
      <w:r w:rsidR="00E56A93" w:rsidRPr="00E56A93">
        <w:rPr>
          <w:bCs/>
          <w:sz w:val="28"/>
        </w:rPr>
        <w:t>26 August 2022</w:t>
      </w:r>
    </w:p>
    <w:p w14:paraId="2C546334" w14:textId="30AF8554" w:rsidR="00BF5AFA" w:rsidRPr="00A66326" w:rsidRDefault="00BF5AFA" w:rsidP="00BF5AFA">
      <w:pPr>
        <w:rPr>
          <w:sz w:val="28"/>
        </w:rPr>
      </w:pPr>
      <w:r>
        <w:rPr>
          <w:b/>
          <w:sz w:val="28"/>
        </w:rPr>
        <w:t>Head of Procurement</w:t>
      </w:r>
      <w:r w:rsidRPr="00A66326">
        <w:rPr>
          <w:b/>
          <w:sz w:val="28"/>
        </w:rPr>
        <w:t xml:space="preserve">:  </w:t>
      </w:r>
      <w:r w:rsidR="000C6758">
        <w:rPr>
          <w:b/>
          <w:sz w:val="28"/>
        </w:rPr>
        <w:t>Lisa Taylor</w:t>
      </w:r>
    </w:p>
    <w:p w14:paraId="399669DE" w14:textId="52143AD2" w:rsidR="00BF5AFA" w:rsidRPr="00A66326" w:rsidRDefault="00BF5AFA" w:rsidP="00BF5AFA">
      <w:pPr>
        <w:rPr>
          <w:sz w:val="28"/>
        </w:rPr>
      </w:pPr>
      <w:r w:rsidRPr="00A66326">
        <w:t xml:space="preserve">Signed on behalf of the </w:t>
      </w:r>
      <w:r>
        <w:t>Head of Procurement</w:t>
      </w:r>
    </w:p>
    <w:p w14:paraId="5A683B65" w14:textId="30DE2911" w:rsidR="00BF5AFA" w:rsidRPr="000C6758" w:rsidRDefault="00BF5AFA" w:rsidP="00BF5AFA">
      <w:pPr>
        <w:spacing w:after="480"/>
        <w:rPr>
          <w:bCs/>
          <w:sz w:val="28"/>
        </w:rPr>
      </w:pPr>
      <w:r w:rsidRPr="00A66326">
        <w:rPr>
          <w:b/>
          <w:sz w:val="28"/>
        </w:rPr>
        <w:t xml:space="preserve">Date:  </w:t>
      </w:r>
      <w:r w:rsidR="000C6758">
        <w:rPr>
          <w:bCs/>
          <w:sz w:val="28"/>
        </w:rPr>
        <w:t>23 August 2022</w:t>
      </w:r>
    </w:p>
    <w:p w14:paraId="113297A5" w14:textId="058EA4A2" w:rsidR="00BF5AFA" w:rsidRPr="00A66326" w:rsidRDefault="00BF5AFA" w:rsidP="00BF5AFA">
      <w:pPr>
        <w:rPr>
          <w:sz w:val="28"/>
        </w:rPr>
      </w:pPr>
      <w:r>
        <w:rPr>
          <w:b/>
          <w:sz w:val="28"/>
        </w:rPr>
        <w:t>Head of Internal Audit</w:t>
      </w:r>
      <w:r w:rsidRPr="00A66326">
        <w:rPr>
          <w:b/>
          <w:sz w:val="28"/>
        </w:rPr>
        <w:t xml:space="preserve">:  </w:t>
      </w:r>
      <w:r w:rsidR="00737CFF">
        <w:rPr>
          <w:b/>
          <w:sz w:val="28"/>
        </w:rPr>
        <w:t>Susan Dixson</w:t>
      </w:r>
    </w:p>
    <w:p w14:paraId="3B1CEB5F" w14:textId="6D215EF5" w:rsidR="00BF5AFA" w:rsidRPr="00A66326" w:rsidRDefault="00BF5AFA" w:rsidP="00BF5AFA">
      <w:pPr>
        <w:rPr>
          <w:sz w:val="28"/>
        </w:rPr>
      </w:pPr>
      <w:r w:rsidRPr="00A66326">
        <w:t xml:space="preserve">Signed by the </w:t>
      </w:r>
      <w:r>
        <w:t>Head of Internal Audit</w:t>
      </w:r>
    </w:p>
    <w:p w14:paraId="065BF29C" w14:textId="6F9EB4FF" w:rsidR="00BF5AFA" w:rsidRPr="00851B33" w:rsidRDefault="00BF5AFA" w:rsidP="00BF5AFA">
      <w:pPr>
        <w:pStyle w:val="Heading2"/>
        <w:spacing w:after="240"/>
        <w:rPr>
          <w:b w:val="0"/>
          <w:bCs w:val="0"/>
        </w:rPr>
      </w:pPr>
      <w:r w:rsidRPr="00A66326">
        <w:rPr>
          <w:sz w:val="28"/>
        </w:rPr>
        <w:t>Date:</w:t>
      </w:r>
      <w:r w:rsidR="00737CFF">
        <w:rPr>
          <w:sz w:val="28"/>
        </w:rPr>
        <w:t xml:space="preserve"> </w:t>
      </w:r>
      <w:r w:rsidR="00851B33" w:rsidRPr="00851B33">
        <w:rPr>
          <w:rFonts w:ascii="Arial" w:hAnsi="Arial"/>
          <w:b w:val="0"/>
          <w:bCs w:val="0"/>
          <w:sz w:val="28"/>
        </w:rPr>
        <w:t>1 September 2022</w:t>
      </w:r>
    </w:p>
    <w:p w14:paraId="45A19EC7" w14:textId="59434FDF" w:rsidR="003313EA" w:rsidRPr="00435B5D" w:rsidRDefault="003313EA" w:rsidP="00BF5AFA">
      <w:pPr>
        <w:pStyle w:val="Heading2"/>
        <w:spacing w:before="480" w:after="240"/>
      </w:pPr>
      <w:r>
        <w:t>Mandatory Checks</w:t>
      </w:r>
    </w:p>
    <w:p w14:paraId="2E8E750F" w14:textId="62B06316" w:rsidR="003313EA" w:rsidRPr="00286198" w:rsidRDefault="003313EA" w:rsidP="00286198">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5580AE19" w:rsidR="003313EA" w:rsidRDefault="003313EA" w:rsidP="003313EA">
      <w:pPr>
        <w:pStyle w:val="Heading3"/>
        <w:spacing w:before="240"/>
      </w:pPr>
      <w:proofErr w:type="spellStart"/>
      <w:r w:rsidRPr="00202D79">
        <w:t>EqIA</w:t>
      </w:r>
      <w:proofErr w:type="spellEnd"/>
      <w:r w:rsidRPr="00202D79">
        <w:t xml:space="preserve"> carried out:</w:t>
      </w:r>
      <w:r>
        <w:t xml:space="preserve">  </w:t>
      </w:r>
      <w:r w:rsidRPr="00202D79">
        <w:t>NO</w:t>
      </w:r>
    </w:p>
    <w:p w14:paraId="44A3E0AE" w14:textId="6C2B8BF8" w:rsidR="000C69C7" w:rsidRPr="000C69C7" w:rsidRDefault="0E7679A3" w:rsidP="000C69C7">
      <w:r>
        <w:t xml:space="preserve">The initial </w:t>
      </w:r>
      <w:proofErr w:type="spellStart"/>
      <w:r>
        <w:t>EqIA</w:t>
      </w:r>
      <w:proofErr w:type="spellEnd"/>
      <w:r>
        <w:t xml:space="preserve"> was carried at the start of the procurement. </w:t>
      </w:r>
      <w:r w:rsidR="3EAC3FCC">
        <w:t xml:space="preserve">NHS </w:t>
      </w:r>
      <w:proofErr w:type="gramStart"/>
      <w:r w:rsidR="3EAC3FCC">
        <w:t>North West</w:t>
      </w:r>
      <w:proofErr w:type="gramEnd"/>
      <w:r w:rsidR="3EAC3FCC">
        <w:t xml:space="preserve"> London </w:t>
      </w:r>
      <w:r w:rsidR="7526048E">
        <w:t>is</w:t>
      </w:r>
      <w:r w:rsidR="3EAC3FCC">
        <w:t xml:space="preserve"> the lead</w:t>
      </w:r>
      <w:r w:rsidR="3952C77F">
        <w:t xml:space="preserve"> and will carry out a joint </w:t>
      </w:r>
      <w:proofErr w:type="spellStart"/>
      <w:r w:rsidR="3952C77F">
        <w:t>EqIA</w:t>
      </w:r>
      <w:proofErr w:type="spellEnd"/>
      <w:r w:rsidR="3952C77F">
        <w:t>.</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C12956E" w14:textId="77777777" w:rsidR="006E17DA" w:rsidRPr="006E17DA" w:rsidRDefault="00333FAA" w:rsidP="006E17DA">
      <w:pPr>
        <w:pStyle w:val="Infotext"/>
        <w:rPr>
          <w:bCs/>
        </w:rPr>
      </w:pPr>
      <w:r w:rsidRPr="004E47FC">
        <w:rPr>
          <w:b/>
        </w:rPr>
        <w:t xml:space="preserve">Contact: </w:t>
      </w:r>
      <w:r w:rsidR="008F6391" w:rsidRPr="006E17DA">
        <w:rPr>
          <w:bCs/>
        </w:rPr>
        <w:t xml:space="preserve">Priya Ganatra, Strategic </w:t>
      </w:r>
      <w:r w:rsidR="00E81B50" w:rsidRPr="006E17DA">
        <w:rPr>
          <w:bCs/>
        </w:rPr>
        <w:t xml:space="preserve">Commissioning Manager </w:t>
      </w:r>
    </w:p>
    <w:p w14:paraId="53552BF5" w14:textId="54BE3240" w:rsidR="006E17DA" w:rsidRDefault="00292B74" w:rsidP="006E17DA">
      <w:pPr>
        <w:pStyle w:val="Infotext"/>
        <w:rPr>
          <w:bCs/>
        </w:rPr>
      </w:pPr>
      <w:hyperlink r:id="rId16" w:history="1">
        <w:r w:rsidR="006E17DA" w:rsidRPr="006E17DA">
          <w:rPr>
            <w:rStyle w:val="Hyperlink"/>
            <w:bCs/>
          </w:rPr>
          <w:t>Priya.ganatra@harrow.gov.uk</w:t>
        </w:r>
      </w:hyperlink>
    </w:p>
    <w:p w14:paraId="1F9A9EFD" w14:textId="0FDB85A1" w:rsidR="006E17DA" w:rsidRDefault="006E17DA" w:rsidP="006E17DA">
      <w:pPr>
        <w:pStyle w:val="Infotext"/>
        <w:rPr>
          <w:bCs/>
        </w:rPr>
      </w:pPr>
      <w:r>
        <w:rPr>
          <w:bCs/>
        </w:rPr>
        <w:t xml:space="preserve">Phone: </w:t>
      </w:r>
      <w:r w:rsidR="003F4E66">
        <w:rPr>
          <w:bCs/>
        </w:rPr>
        <w:t>07</w:t>
      </w:r>
      <w:r w:rsidR="007F0027">
        <w:rPr>
          <w:bCs/>
        </w:rPr>
        <w:t>976957586</w:t>
      </w:r>
    </w:p>
    <w:p w14:paraId="3DA4072C" w14:textId="77777777" w:rsidR="006E17DA" w:rsidRDefault="006E17DA" w:rsidP="006E17DA">
      <w:pPr>
        <w:pStyle w:val="Infotext"/>
        <w:rPr>
          <w:b/>
        </w:rPr>
      </w:pPr>
    </w:p>
    <w:p w14:paraId="5643A7F9" w14:textId="1E202916" w:rsidR="005718B5" w:rsidRPr="008F6391" w:rsidRDefault="00333FAA" w:rsidP="008F6391">
      <w:pPr>
        <w:pStyle w:val="Infotext"/>
        <w:spacing w:after="240"/>
        <w:rPr>
          <w:rFonts w:ascii="Calibri" w:hAnsi="Calibri"/>
          <w:szCs w:val="24"/>
          <w:lang w:eastAsia="en-GB"/>
        </w:rPr>
      </w:pPr>
      <w:r w:rsidRPr="004E47FC">
        <w:rPr>
          <w:b/>
        </w:rPr>
        <w:t xml:space="preserve">Background Papers: </w:t>
      </w:r>
      <w:r w:rsidR="005808FB">
        <w:rPr>
          <w:b/>
        </w:rPr>
        <w:t xml:space="preserve"> </w:t>
      </w:r>
      <w:r w:rsidR="008F6391" w:rsidRPr="008F6391">
        <w:t>None</w:t>
      </w:r>
    </w:p>
    <w:p w14:paraId="3CCA5C3B" w14:textId="220654A4" w:rsidR="000D4E36" w:rsidRPr="00ED6776" w:rsidRDefault="00842757" w:rsidP="00435EFF">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435EFF">
        <w:rPr>
          <w:rFonts w:ascii="Arial Black" w:hAnsi="Arial Black"/>
        </w:rPr>
        <w:t xml:space="preserve"> - </w:t>
      </w:r>
      <w:r w:rsidRPr="003D78F6">
        <w:rPr>
          <w:b/>
        </w:rPr>
        <w:t xml:space="preserve">NO </w:t>
      </w:r>
    </w:p>
    <w:sectPr w:rsidR="000D4E36" w:rsidRPr="00ED6776" w:rsidSect="001614E0">
      <w:headerReference w:type="even" r:id="rId17"/>
      <w:headerReference w:type="default" r:id="rId18"/>
      <w:footerReference w:type="even" r:id="rId19"/>
      <w:footerReference w:type="default" r:id="rId20"/>
      <w:headerReference w:type="first" r:id="rId21"/>
      <w:footerReference w:type="first" r:id="rId22"/>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7617" w14:textId="77777777" w:rsidR="0097724B" w:rsidRDefault="0097724B">
      <w:r>
        <w:separator/>
      </w:r>
    </w:p>
  </w:endnote>
  <w:endnote w:type="continuationSeparator" w:id="0">
    <w:p w14:paraId="4E1AF765" w14:textId="77777777" w:rsidR="0097724B" w:rsidRDefault="0097724B">
      <w:r>
        <w:continuationSeparator/>
      </w:r>
    </w:p>
  </w:endnote>
  <w:endnote w:type="continuationNotice" w:id="1">
    <w:p w14:paraId="23B8A5DC" w14:textId="77777777" w:rsidR="0097724B" w:rsidRDefault="0097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784" w14:textId="77777777" w:rsidR="00512C42" w:rsidRDefault="00512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51D" w14:textId="77777777" w:rsidR="00512C42" w:rsidRDefault="00512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FB74" w14:textId="77777777" w:rsidR="0097724B" w:rsidRDefault="0097724B">
      <w:r>
        <w:separator/>
      </w:r>
    </w:p>
  </w:footnote>
  <w:footnote w:type="continuationSeparator" w:id="0">
    <w:p w14:paraId="79A828B9" w14:textId="77777777" w:rsidR="0097724B" w:rsidRDefault="0097724B">
      <w:r>
        <w:continuationSeparator/>
      </w:r>
    </w:p>
  </w:footnote>
  <w:footnote w:type="continuationNotice" w:id="1">
    <w:p w14:paraId="0377D2BA" w14:textId="77777777" w:rsidR="0097724B" w:rsidRDefault="0097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3434" w14:textId="77777777" w:rsidR="00512C42" w:rsidRDefault="00512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43F69"/>
    <w:multiLevelType w:val="hybridMultilevel"/>
    <w:tmpl w:val="D9589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421A6"/>
    <w:multiLevelType w:val="hybridMultilevel"/>
    <w:tmpl w:val="0F6AB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44D73"/>
    <w:multiLevelType w:val="hybridMultilevel"/>
    <w:tmpl w:val="9376949E"/>
    <w:lvl w:ilvl="0" w:tplc="08090005">
      <w:start w:val="1"/>
      <w:numFmt w:val="bullet"/>
      <w:lvlText w:val=""/>
      <w:lvlJc w:val="left"/>
      <w:pPr>
        <w:ind w:left="54" w:hanging="360"/>
      </w:pPr>
      <w:rPr>
        <w:rFonts w:ascii="Wingdings" w:hAnsi="Wingdings" w:hint="default"/>
      </w:rPr>
    </w:lvl>
    <w:lvl w:ilvl="1" w:tplc="08090003" w:tentative="1">
      <w:start w:val="1"/>
      <w:numFmt w:val="bullet"/>
      <w:lvlText w:val="o"/>
      <w:lvlJc w:val="left"/>
      <w:pPr>
        <w:ind w:left="774" w:hanging="360"/>
      </w:pPr>
      <w:rPr>
        <w:rFonts w:ascii="Courier New" w:hAnsi="Courier New" w:cs="Courier New" w:hint="default"/>
      </w:rPr>
    </w:lvl>
    <w:lvl w:ilvl="2" w:tplc="08090005" w:tentative="1">
      <w:start w:val="1"/>
      <w:numFmt w:val="bullet"/>
      <w:lvlText w:val=""/>
      <w:lvlJc w:val="left"/>
      <w:pPr>
        <w:ind w:left="1494" w:hanging="360"/>
      </w:pPr>
      <w:rPr>
        <w:rFonts w:ascii="Wingdings" w:hAnsi="Wingdings" w:hint="default"/>
      </w:rPr>
    </w:lvl>
    <w:lvl w:ilvl="3" w:tplc="08090001" w:tentative="1">
      <w:start w:val="1"/>
      <w:numFmt w:val="bullet"/>
      <w:lvlText w:val=""/>
      <w:lvlJc w:val="left"/>
      <w:pPr>
        <w:ind w:left="2214" w:hanging="360"/>
      </w:pPr>
      <w:rPr>
        <w:rFonts w:ascii="Symbol" w:hAnsi="Symbol" w:hint="default"/>
      </w:rPr>
    </w:lvl>
    <w:lvl w:ilvl="4" w:tplc="08090003" w:tentative="1">
      <w:start w:val="1"/>
      <w:numFmt w:val="bullet"/>
      <w:lvlText w:val="o"/>
      <w:lvlJc w:val="left"/>
      <w:pPr>
        <w:ind w:left="2934" w:hanging="360"/>
      </w:pPr>
      <w:rPr>
        <w:rFonts w:ascii="Courier New" w:hAnsi="Courier New" w:cs="Courier New" w:hint="default"/>
      </w:rPr>
    </w:lvl>
    <w:lvl w:ilvl="5" w:tplc="08090005" w:tentative="1">
      <w:start w:val="1"/>
      <w:numFmt w:val="bullet"/>
      <w:lvlText w:val=""/>
      <w:lvlJc w:val="left"/>
      <w:pPr>
        <w:ind w:left="3654" w:hanging="360"/>
      </w:pPr>
      <w:rPr>
        <w:rFonts w:ascii="Wingdings" w:hAnsi="Wingdings" w:hint="default"/>
      </w:rPr>
    </w:lvl>
    <w:lvl w:ilvl="6" w:tplc="08090001" w:tentative="1">
      <w:start w:val="1"/>
      <w:numFmt w:val="bullet"/>
      <w:lvlText w:val=""/>
      <w:lvlJc w:val="left"/>
      <w:pPr>
        <w:ind w:left="4374" w:hanging="360"/>
      </w:pPr>
      <w:rPr>
        <w:rFonts w:ascii="Symbol" w:hAnsi="Symbol" w:hint="default"/>
      </w:rPr>
    </w:lvl>
    <w:lvl w:ilvl="7" w:tplc="08090003" w:tentative="1">
      <w:start w:val="1"/>
      <w:numFmt w:val="bullet"/>
      <w:lvlText w:val="o"/>
      <w:lvlJc w:val="left"/>
      <w:pPr>
        <w:ind w:left="5094" w:hanging="360"/>
      </w:pPr>
      <w:rPr>
        <w:rFonts w:ascii="Courier New" w:hAnsi="Courier New" w:cs="Courier New" w:hint="default"/>
      </w:rPr>
    </w:lvl>
    <w:lvl w:ilvl="8" w:tplc="08090005" w:tentative="1">
      <w:start w:val="1"/>
      <w:numFmt w:val="bullet"/>
      <w:lvlText w:val=""/>
      <w:lvlJc w:val="left"/>
      <w:pPr>
        <w:ind w:left="5814" w:hanging="360"/>
      </w:pPr>
      <w:rPr>
        <w:rFonts w:ascii="Wingdings" w:hAnsi="Wingdings" w:hint="default"/>
      </w:rPr>
    </w:lvl>
  </w:abstractNum>
  <w:abstractNum w:abstractNumId="4" w15:restartNumberingAfterBreak="0">
    <w:nsid w:val="381E260F"/>
    <w:multiLevelType w:val="hybridMultilevel"/>
    <w:tmpl w:val="0630A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71EBF"/>
    <w:multiLevelType w:val="hybridMultilevel"/>
    <w:tmpl w:val="0B566752"/>
    <w:lvl w:ilvl="0" w:tplc="EAC2B050">
      <w:start w:val="1"/>
      <w:numFmt w:val="decimal"/>
      <w:lvlText w:val="%1."/>
      <w:lvlJc w:val="left"/>
      <w:pPr>
        <w:ind w:left="720" w:hanging="720"/>
      </w:pPr>
      <w:rPr>
        <w:rFonts w:hint="default"/>
        <w:b w:val="0"/>
        <w:bCs w:val="0"/>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33D691"/>
    <w:multiLevelType w:val="hybridMultilevel"/>
    <w:tmpl w:val="9B361748"/>
    <w:lvl w:ilvl="0" w:tplc="9202EA28">
      <w:start w:val="1"/>
      <w:numFmt w:val="decimal"/>
      <w:lvlText w:val="%1."/>
      <w:lvlJc w:val="left"/>
      <w:pPr>
        <w:ind w:left="720" w:hanging="360"/>
      </w:pPr>
    </w:lvl>
    <w:lvl w:ilvl="1" w:tplc="B262E33C">
      <w:start w:val="1"/>
      <w:numFmt w:val="lowerLetter"/>
      <w:lvlText w:val="%2."/>
      <w:lvlJc w:val="left"/>
      <w:pPr>
        <w:ind w:left="1440" w:hanging="360"/>
      </w:pPr>
    </w:lvl>
    <w:lvl w:ilvl="2" w:tplc="25245A80">
      <w:start w:val="1"/>
      <w:numFmt w:val="lowerRoman"/>
      <w:lvlText w:val="%3."/>
      <w:lvlJc w:val="right"/>
      <w:pPr>
        <w:ind w:left="2160" w:hanging="180"/>
      </w:pPr>
    </w:lvl>
    <w:lvl w:ilvl="3" w:tplc="7C764E70">
      <w:start w:val="1"/>
      <w:numFmt w:val="decimal"/>
      <w:lvlText w:val="%4."/>
      <w:lvlJc w:val="left"/>
      <w:pPr>
        <w:ind w:left="2880" w:hanging="360"/>
      </w:pPr>
    </w:lvl>
    <w:lvl w:ilvl="4" w:tplc="837255FE">
      <w:start w:val="1"/>
      <w:numFmt w:val="lowerLetter"/>
      <w:lvlText w:val="%5."/>
      <w:lvlJc w:val="left"/>
      <w:pPr>
        <w:ind w:left="3600" w:hanging="360"/>
      </w:pPr>
    </w:lvl>
    <w:lvl w:ilvl="5" w:tplc="609CBAEE">
      <w:start w:val="1"/>
      <w:numFmt w:val="lowerRoman"/>
      <w:lvlText w:val="%6."/>
      <w:lvlJc w:val="right"/>
      <w:pPr>
        <w:ind w:left="4320" w:hanging="180"/>
      </w:pPr>
    </w:lvl>
    <w:lvl w:ilvl="6" w:tplc="EA7413A8">
      <w:start w:val="1"/>
      <w:numFmt w:val="decimal"/>
      <w:lvlText w:val="%7."/>
      <w:lvlJc w:val="left"/>
      <w:pPr>
        <w:ind w:left="5040" w:hanging="360"/>
      </w:pPr>
    </w:lvl>
    <w:lvl w:ilvl="7" w:tplc="7AA6A7F6">
      <w:start w:val="1"/>
      <w:numFmt w:val="lowerLetter"/>
      <w:lvlText w:val="%8."/>
      <w:lvlJc w:val="left"/>
      <w:pPr>
        <w:ind w:left="5760" w:hanging="360"/>
      </w:pPr>
    </w:lvl>
    <w:lvl w:ilvl="8" w:tplc="1E88ABEA">
      <w:start w:val="1"/>
      <w:numFmt w:val="lowerRoman"/>
      <w:lvlText w:val="%9."/>
      <w:lvlJc w:val="right"/>
      <w:pPr>
        <w:ind w:left="6480" w:hanging="180"/>
      </w:pPr>
    </w:lvl>
  </w:abstractNum>
  <w:abstractNum w:abstractNumId="7" w15:restartNumberingAfterBreak="0">
    <w:nsid w:val="402624FC"/>
    <w:multiLevelType w:val="hybridMultilevel"/>
    <w:tmpl w:val="04A4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6FF661F"/>
    <w:multiLevelType w:val="hybridMultilevel"/>
    <w:tmpl w:val="16725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B77999"/>
    <w:multiLevelType w:val="hybridMultilevel"/>
    <w:tmpl w:val="2034BB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A007A4"/>
    <w:multiLevelType w:val="hybridMultilevel"/>
    <w:tmpl w:val="BC5E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21B0C"/>
    <w:multiLevelType w:val="hybridMultilevel"/>
    <w:tmpl w:val="8CEE2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5A2D74"/>
    <w:multiLevelType w:val="hybridMultilevel"/>
    <w:tmpl w:val="D2467CF8"/>
    <w:lvl w:ilvl="0" w:tplc="08090001">
      <w:start w:val="1"/>
      <w:numFmt w:val="bullet"/>
      <w:lvlText w:val=""/>
      <w:lvlJc w:val="left"/>
      <w:pPr>
        <w:ind w:left="720" w:hanging="720"/>
      </w:pPr>
      <w:rPr>
        <w:rFonts w:ascii="Symbol" w:hAnsi="Symbol" w:hint="default"/>
        <w:b w:val="0"/>
        <w:bCs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E947386"/>
    <w:multiLevelType w:val="hybridMultilevel"/>
    <w:tmpl w:val="507E7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860DB"/>
    <w:multiLevelType w:val="hybridMultilevel"/>
    <w:tmpl w:val="CAF6BE82"/>
    <w:lvl w:ilvl="0" w:tplc="EF588FE4">
      <w:start w:val="1"/>
      <w:numFmt w:val="decimal"/>
      <w:lvlText w:val="%1."/>
      <w:lvlJc w:val="left"/>
      <w:pPr>
        <w:ind w:left="644" w:hanging="360"/>
      </w:pPr>
      <w:rPr>
        <w:rFonts w:ascii="Arial" w:hAnsi="Arial" w:cs="Arial"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14"/>
  </w:num>
  <w:num w:numId="8">
    <w:abstractNumId w:val="1"/>
  </w:num>
  <w:num w:numId="9">
    <w:abstractNumId w:val="2"/>
  </w:num>
  <w:num w:numId="10">
    <w:abstractNumId w:val="7"/>
  </w:num>
  <w:num w:numId="11">
    <w:abstractNumId w:val="12"/>
  </w:num>
  <w:num w:numId="12">
    <w:abstractNumId w:val="15"/>
  </w:num>
  <w:num w:numId="13">
    <w:abstractNumId w:val="1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FE4"/>
    <w:rsid w:val="00004A1A"/>
    <w:rsid w:val="0001538A"/>
    <w:rsid w:val="00016D9B"/>
    <w:rsid w:val="000224E9"/>
    <w:rsid w:val="00024BF2"/>
    <w:rsid w:val="00035FFA"/>
    <w:rsid w:val="00037FA4"/>
    <w:rsid w:val="0004029A"/>
    <w:rsid w:val="00040887"/>
    <w:rsid w:val="00040DDD"/>
    <w:rsid w:val="0004426F"/>
    <w:rsid w:val="000474E3"/>
    <w:rsid w:val="00050AE6"/>
    <w:rsid w:val="00053521"/>
    <w:rsid w:val="0006034E"/>
    <w:rsid w:val="00063783"/>
    <w:rsid w:val="00063CF4"/>
    <w:rsid w:val="00073218"/>
    <w:rsid w:val="00073765"/>
    <w:rsid w:val="000749C1"/>
    <w:rsid w:val="00076577"/>
    <w:rsid w:val="000813CD"/>
    <w:rsid w:val="00087F87"/>
    <w:rsid w:val="00091BF6"/>
    <w:rsid w:val="000929A6"/>
    <w:rsid w:val="00095FA1"/>
    <w:rsid w:val="000A14E2"/>
    <w:rsid w:val="000A174F"/>
    <w:rsid w:val="000B19C1"/>
    <w:rsid w:val="000B5015"/>
    <w:rsid w:val="000B6898"/>
    <w:rsid w:val="000B6CAA"/>
    <w:rsid w:val="000B788F"/>
    <w:rsid w:val="000B7C66"/>
    <w:rsid w:val="000C278A"/>
    <w:rsid w:val="000C4C40"/>
    <w:rsid w:val="000C5A60"/>
    <w:rsid w:val="000C6758"/>
    <w:rsid w:val="000C69C7"/>
    <w:rsid w:val="000D4E36"/>
    <w:rsid w:val="000E62FE"/>
    <w:rsid w:val="000E6AB0"/>
    <w:rsid w:val="000F1099"/>
    <w:rsid w:val="00103FF1"/>
    <w:rsid w:val="00105B8A"/>
    <w:rsid w:val="001061AB"/>
    <w:rsid w:val="0010675C"/>
    <w:rsid w:val="00107CEB"/>
    <w:rsid w:val="00115A03"/>
    <w:rsid w:val="001161E4"/>
    <w:rsid w:val="00125A26"/>
    <w:rsid w:val="00125F66"/>
    <w:rsid w:val="00127E27"/>
    <w:rsid w:val="00131C0D"/>
    <w:rsid w:val="00133053"/>
    <w:rsid w:val="001347C2"/>
    <w:rsid w:val="00136C32"/>
    <w:rsid w:val="00140F9A"/>
    <w:rsid w:val="00144C85"/>
    <w:rsid w:val="001472A8"/>
    <w:rsid w:val="00147FC4"/>
    <w:rsid w:val="0015376F"/>
    <w:rsid w:val="00157F3A"/>
    <w:rsid w:val="001614E0"/>
    <w:rsid w:val="001650AF"/>
    <w:rsid w:val="00165941"/>
    <w:rsid w:val="00171BD8"/>
    <w:rsid w:val="001759AD"/>
    <w:rsid w:val="0017653E"/>
    <w:rsid w:val="00177ABA"/>
    <w:rsid w:val="00182B01"/>
    <w:rsid w:val="001840D2"/>
    <w:rsid w:val="00184418"/>
    <w:rsid w:val="001966D7"/>
    <w:rsid w:val="001A5337"/>
    <w:rsid w:val="001B5F18"/>
    <w:rsid w:val="001B6E2C"/>
    <w:rsid w:val="001C1041"/>
    <w:rsid w:val="001C2368"/>
    <w:rsid w:val="001C2924"/>
    <w:rsid w:val="001C4D2E"/>
    <w:rsid w:val="001C7E35"/>
    <w:rsid w:val="001D0303"/>
    <w:rsid w:val="001D3ADD"/>
    <w:rsid w:val="001D610A"/>
    <w:rsid w:val="001E2D7C"/>
    <w:rsid w:val="001E3899"/>
    <w:rsid w:val="001E3C06"/>
    <w:rsid w:val="001E4479"/>
    <w:rsid w:val="001E5B64"/>
    <w:rsid w:val="001F0037"/>
    <w:rsid w:val="001F0BE9"/>
    <w:rsid w:val="001F1BA2"/>
    <w:rsid w:val="001F2F97"/>
    <w:rsid w:val="00200F66"/>
    <w:rsid w:val="00202D79"/>
    <w:rsid w:val="00205D2F"/>
    <w:rsid w:val="00215E8F"/>
    <w:rsid w:val="002164C5"/>
    <w:rsid w:val="00217DBD"/>
    <w:rsid w:val="00221A93"/>
    <w:rsid w:val="002238BA"/>
    <w:rsid w:val="002271E8"/>
    <w:rsid w:val="0022722F"/>
    <w:rsid w:val="002311DD"/>
    <w:rsid w:val="002322BB"/>
    <w:rsid w:val="00232D99"/>
    <w:rsid w:val="002338DF"/>
    <w:rsid w:val="00236A40"/>
    <w:rsid w:val="002379E8"/>
    <w:rsid w:val="002476B4"/>
    <w:rsid w:val="00251254"/>
    <w:rsid w:val="00252AF4"/>
    <w:rsid w:val="00252D20"/>
    <w:rsid w:val="00252DDD"/>
    <w:rsid w:val="002548D1"/>
    <w:rsid w:val="00255A23"/>
    <w:rsid w:val="00256957"/>
    <w:rsid w:val="00266D4F"/>
    <w:rsid w:val="0027283B"/>
    <w:rsid w:val="00273167"/>
    <w:rsid w:val="00273BA0"/>
    <w:rsid w:val="00276E48"/>
    <w:rsid w:val="0028019B"/>
    <w:rsid w:val="00280A75"/>
    <w:rsid w:val="00282E73"/>
    <w:rsid w:val="00283CAB"/>
    <w:rsid w:val="0028525A"/>
    <w:rsid w:val="00285E56"/>
    <w:rsid w:val="00286198"/>
    <w:rsid w:val="00292B74"/>
    <w:rsid w:val="0029704F"/>
    <w:rsid w:val="002A3FEF"/>
    <w:rsid w:val="002B0559"/>
    <w:rsid w:val="002B0AC4"/>
    <w:rsid w:val="002B1602"/>
    <w:rsid w:val="002B169A"/>
    <w:rsid w:val="002B2048"/>
    <w:rsid w:val="002B54A6"/>
    <w:rsid w:val="002C4639"/>
    <w:rsid w:val="002C554B"/>
    <w:rsid w:val="002D1E3C"/>
    <w:rsid w:val="002D5A36"/>
    <w:rsid w:val="002E0E00"/>
    <w:rsid w:val="002E247C"/>
    <w:rsid w:val="002E32EC"/>
    <w:rsid w:val="002E4F42"/>
    <w:rsid w:val="002F3EE9"/>
    <w:rsid w:val="002F4A00"/>
    <w:rsid w:val="002F7171"/>
    <w:rsid w:val="00307F76"/>
    <w:rsid w:val="00321E71"/>
    <w:rsid w:val="00321FBB"/>
    <w:rsid w:val="00323AED"/>
    <w:rsid w:val="00327F59"/>
    <w:rsid w:val="00330832"/>
    <w:rsid w:val="003313EA"/>
    <w:rsid w:val="00333FAA"/>
    <w:rsid w:val="003355D7"/>
    <w:rsid w:val="00335CD7"/>
    <w:rsid w:val="003373CB"/>
    <w:rsid w:val="00346356"/>
    <w:rsid w:val="0034747D"/>
    <w:rsid w:val="003511A0"/>
    <w:rsid w:val="00351863"/>
    <w:rsid w:val="00356169"/>
    <w:rsid w:val="0036012E"/>
    <w:rsid w:val="0036201C"/>
    <w:rsid w:val="00363354"/>
    <w:rsid w:val="00363836"/>
    <w:rsid w:val="003642C3"/>
    <w:rsid w:val="00366BFA"/>
    <w:rsid w:val="0037303C"/>
    <w:rsid w:val="00376768"/>
    <w:rsid w:val="00380F87"/>
    <w:rsid w:val="003A17C7"/>
    <w:rsid w:val="003A3ADF"/>
    <w:rsid w:val="003A7D43"/>
    <w:rsid w:val="003B7E8A"/>
    <w:rsid w:val="003C270D"/>
    <w:rsid w:val="003C301F"/>
    <w:rsid w:val="003C68AC"/>
    <w:rsid w:val="003C68C2"/>
    <w:rsid w:val="003D0390"/>
    <w:rsid w:val="003D312A"/>
    <w:rsid w:val="003E1781"/>
    <w:rsid w:val="003E53F3"/>
    <w:rsid w:val="003F0D28"/>
    <w:rsid w:val="003F0DC1"/>
    <w:rsid w:val="003F0FB7"/>
    <w:rsid w:val="003F200F"/>
    <w:rsid w:val="003F299B"/>
    <w:rsid w:val="003F3AFD"/>
    <w:rsid w:val="003F4E66"/>
    <w:rsid w:val="004025FD"/>
    <w:rsid w:val="00402C5E"/>
    <w:rsid w:val="00404025"/>
    <w:rsid w:val="00404369"/>
    <w:rsid w:val="004076C8"/>
    <w:rsid w:val="00410B37"/>
    <w:rsid w:val="00415F91"/>
    <w:rsid w:val="004207E3"/>
    <w:rsid w:val="00421A4C"/>
    <w:rsid w:val="004238C2"/>
    <w:rsid w:val="004310CA"/>
    <w:rsid w:val="00435B5D"/>
    <w:rsid w:val="00435EFF"/>
    <w:rsid w:val="004363F7"/>
    <w:rsid w:val="00440AC3"/>
    <w:rsid w:val="00441BCE"/>
    <w:rsid w:val="00442E37"/>
    <w:rsid w:val="0044525C"/>
    <w:rsid w:val="00446CFF"/>
    <w:rsid w:val="00453413"/>
    <w:rsid w:val="00453AC8"/>
    <w:rsid w:val="004553F1"/>
    <w:rsid w:val="00463B74"/>
    <w:rsid w:val="0046793F"/>
    <w:rsid w:val="004716FF"/>
    <w:rsid w:val="00471C1F"/>
    <w:rsid w:val="00471E24"/>
    <w:rsid w:val="004741B1"/>
    <w:rsid w:val="00474B16"/>
    <w:rsid w:val="004809FA"/>
    <w:rsid w:val="004910CA"/>
    <w:rsid w:val="004B35D3"/>
    <w:rsid w:val="004B55F3"/>
    <w:rsid w:val="004C039F"/>
    <w:rsid w:val="004C2D09"/>
    <w:rsid w:val="004C4A75"/>
    <w:rsid w:val="004C4DC2"/>
    <w:rsid w:val="004C5A79"/>
    <w:rsid w:val="004C5E70"/>
    <w:rsid w:val="004D2DA0"/>
    <w:rsid w:val="004D4099"/>
    <w:rsid w:val="004E14A4"/>
    <w:rsid w:val="004E2F17"/>
    <w:rsid w:val="004F174C"/>
    <w:rsid w:val="004F3ACD"/>
    <w:rsid w:val="004F4692"/>
    <w:rsid w:val="004F54BD"/>
    <w:rsid w:val="004F56C5"/>
    <w:rsid w:val="00502417"/>
    <w:rsid w:val="005047EB"/>
    <w:rsid w:val="0050579D"/>
    <w:rsid w:val="00506185"/>
    <w:rsid w:val="00512C42"/>
    <w:rsid w:val="0051567F"/>
    <w:rsid w:val="005215F2"/>
    <w:rsid w:val="0052330D"/>
    <w:rsid w:val="00527DA8"/>
    <w:rsid w:val="005354D0"/>
    <w:rsid w:val="0054172C"/>
    <w:rsid w:val="0054590F"/>
    <w:rsid w:val="005459EC"/>
    <w:rsid w:val="0055716B"/>
    <w:rsid w:val="00563E1A"/>
    <w:rsid w:val="00563EA4"/>
    <w:rsid w:val="005718B5"/>
    <w:rsid w:val="005808FB"/>
    <w:rsid w:val="005811F8"/>
    <w:rsid w:val="00582605"/>
    <w:rsid w:val="00587FFA"/>
    <w:rsid w:val="00591016"/>
    <w:rsid w:val="005B3F67"/>
    <w:rsid w:val="005C0476"/>
    <w:rsid w:val="005C2D38"/>
    <w:rsid w:val="005D1552"/>
    <w:rsid w:val="005D548F"/>
    <w:rsid w:val="005D6EF5"/>
    <w:rsid w:val="005E31D6"/>
    <w:rsid w:val="005E3A10"/>
    <w:rsid w:val="005E7509"/>
    <w:rsid w:val="005F06BD"/>
    <w:rsid w:val="005F127E"/>
    <w:rsid w:val="005F346B"/>
    <w:rsid w:val="005F38EF"/>
    <w:rsid w:val="005F3A25"/>
    <w:rsid w:val="005F4BF3"/>
    <w:rsid w:val="00601850"/>
    <w:rsid w:val="00601D7F"/>
    <w:rsid w:val="00605A4C"/>
    <w:rsid w:val="00607831"/>
    <w:rsid w:val="0061114F"/>
    <w:rsid w:val="00620E2A"/>
    <w:rsid w:val="00627AF1"/>
    <w:rsid w:val="00633E69"/>
    <w:rsid w:val="00642E85"/>
    <w:rsid w:val="00645B8B"/>
    <w:rsid w:val="00652E14"/>
    <w:rsid w:val="00653A18"/>
    <w:rsid w:val="00655044"/>
    <w:rsid w:val="00663AA4"/>
    <w:rsid w:val="00666922"/>
    <w:rsid w:val="00667051"/>
    <w:rsid w:val="00670F17"/>
    <w:rsid w:val="006710C7"/>
    <w:rsid w:val="00671109"/>
    <w:rsid w:val="0067379B"/>
    <w:rsid w:val="006742CC"/>
    <w:rsid w:val="0067441F"/>
    <w:rsid w:val="00675438"/>
    <w:rsid w:val="00675AA7"/>
    <w:rsid w:val="00675D1C"/>
    <w:rsid w:val="006775B9"/>
    <w:rsid w:val="0068035F"/>
    <w:rsid w:val="00684585"/>
    <w:rsid w:val="006855B6"/>
    <w:rsid w:val="00692CF6"/>
    <w:rsid w:val="00693963"/>
    <w:rsid w:val="00693A04"/>
    <w:rsid w:val="00696A83"/>
    <w:rsid w:val="006A11EA"/>
    <w:rsid w:val="006B327B"/>
    <w:rsid w:val="006B4982"/>
    <w:rsid w:val="006C2BF4"/>
    <w:rsid w:val="006C580A"/>
    <w:rsid w:val="006D1E69"/>
    <w:rsid w:val="006D2925"/>
    <w:rsid w:val="006D2E40"/>
    <w:rsid w:val="006D2FB8"/>
    <w:rsid w:val="006D6E33"/>
    <w:rsid w:val="006D7BD7"/>
    <w:rsid w:val="006E17DA"/>
    <w:rsid w:val="006E1FAD"/>
    <w:rsid w:val="006E301E"/>
    <w:rsid w:val="006F057C"/>
    <w:rsid w:val="006F1C30"/>
    <w:rsid w:val="006F22DA"/>
    <w:rsid w:val="006F2AA0"/>
    <w:rsid w:val="006F2EB3"/>
    <w:rsid w:val="006F652A"/>
    <w:rsid w:val="007116B1"/>
    <w:rsid w:val="00712CE9"/>
    <w:rsid w:val="00714BEE"/>
    <w:rsid w:val="00716AE3"/>
    <w:rsid w:val="00717C2A"/>
    <w:rsid w:val="00721215"/>
    <w:rsid w:val="007256AA"/>
    <w:rsid w:val="00726469"/>
    <w:rsid w:val="00727DB6"/>
    <w:rsid w:val="00737CFF"/>
    <w:rsid w:val="007400CF"/>
    <w:rsid w:val="00743915"/>
    <w:rsid w:val="0074533B"/>
    <w:rsid w:val="00745E95"/>
    <w:rsid w:val="00753CE7"/>
    <w:rsid w:val="007559CB"/>
    <w:rsid w:val="00760370"/>
    <w:rsid w:val="0076344A"/>
    <w:rsid w:val="0076593B"/>
    <w:rsid w:val="00765E62"/>
    <w:rsid w:val="007820EA"/>
    <w:rsid w:val="00783825"/>
    <w:rsid w:val="0078737B"/>
    <w:rsid w:val="00791347"/>
    <w:rsid w:val="00796A08"/>
    <w:rsid w:val="0079710C"/>
    <w:rsid w:val="007A2318"/>
    <w:rsid w:val="007A69CD"/>
    <w:rsid w:val="007B1E9A"/>
    <w:rsid w:val="007B23FC"/>
    <w:rsid w:val="007B3B58"/>
    <w:rsid w:val="007C0976"/>
    <w:rsid w:val="007D0C1D"/>
    <w:rsid w:val="007D0C76"/>
    <w:rsid w:val="007D2000"/>
    <w:rsid w:val="007D4DBF"/>
    <w:rsid w:val="007D5864"/>
    <w:rsid w:val="007E4732"/>
    <w:rsid w:val="007E4B20"/>
    <w:rsid w:val="007E4BA4"/>
    <w:rsid w:val="007E519D"/>
    <w:rsid w:val="007E6542"/>
    <w:rsid w:val="007F0027"/>
    <w:rsid w:val="007F004E"/>
    <w:rsid w:val="007F335A"/>
    <w:rsid w:val="007F3DF6"/>
    <w:rsid w:val="007F72BE"/>
    <w:rsid w:val="00803104"/>
    <w:rsid w:val="00811824"/>
    <w:rsid w:val="00812901"/>
    <w:rsid w:val="00824F37"/>
    <w:rsid w:val="00826B9A"/>
    <w:rsid w:val="00842757"/>
    <w:rsid w:val="00843A7E"/>
    <w:rsid w:val="00843CC2"/>
    <w:rsid w:val="008504E7"/>
    <w:rsid w:val="00851B33"/>
    <w:rsid w:val="008525FC"/>
    <w:rsid w:val="0085266D"/>
    <w:rsid w:val="00852B05"/>
    <w:rsid w:val="008618E9"/>
    <w:rsid w:val="00881B5E"/>
    <w:rsid w:val="00882109"/>
    <w:rsid w:val="00892506"/>
    <w:rsid w:val="008A5AA0"/>
    <w:rsid w:val="008B192C"/>
    <w:rsid w:val="008B3457"/>
    <w:rsid w:val="008B7D8A"/>
    <w:rsid w:val="008C2953"/>
    <w:rsid w:val="008C3289"/>
    <w:rsid w:val="008C651A"/>
    <w:rsid w:val="008D1ECA"/>
    <w:rsid w:val="008D5A5F"/>
    <w:rsid w:val="008E1230"/>
    <w:rsid w:val="008E224D"/>
    <w:rsid w:val="008E2FC7"/>
    <w:rsid w:val="008F524A"/>
    <w:rsid w:val="008F6391"/>
    <w:rsid w:val="008F755B"/>
    <w:rsid w:val="00901480"/>
    <w:rsid w:val="00904240"/>
    <w:rsid w:val="009079E3"/>
    <w:rsid w:val="00907ACB"/>
    <w:rsid w:val="00924A4E"/>
    <w:rsid w:val="0092530B"/>
    <w:rsid w:val="00933490"/>
    <w:rsid w:val="009341A6"/>
    <w:rsid w:val="00934D71"/>
    <w:rsid w:val="00937D20"/>
    <w:rsid w:val="00940E3A"/>
    <w:rsid w:val="0094208C"/>
    <w:rsid w:val="00942F17"/>
    <w:rsid w:val="00943236"/>
    <w:rsid w:val="00950514"/>
    <w:rsid w:val="00952CEF"/>
    <w:rsid w:val="00955421"/>
    <w:rsid w:val="00964EA0"/>
    <w:rsid w:val="00973BB8"/>
    <w:rsid w:val="00973DE7"/>
    <w:rsid w:val="0097724B"/>
    <w:rsid w:val="00990E9C"/>
    <w:rsid w:val="00994542"/>
    <w:rsid w:val="00994908"/>
    <w:rsid w:val="00995CD2"/>
    <w:rsid w:val="00996002"/>
    <w:rsid w:val="009A2C72"/>
    <w:rsid w:val="009B160B"/>
    <w:rsid w:val="009B365C"/>
    <w:rsid w:val="009B5455"/>
    <w:rsid w:val="009B5704"/>
    <w:rsid w:val="009B6595"/>
    <w:rsid w:val="009C237B"/>
    <w:rsid w:val="009C4930"/>
    <w:rsid w:val="009C4DD1"/>
    <w:rsid w:val="009D2FCC"/>
    <w:rsid w:val="009D3A68"/>
    <w:rsid w:val="009D5D59"/>
    <w:rsid w:val="009E5A93"/>
    <w:rsid w:val="009E6606"/>
    <w:rsid w:val="009E798E"/>
    <w:rsid w:val="009F3154"/>
    <w:rsid w:val="00A05940"/>
    <w:rsid w:val="00A06ABD"/>
    <w:rsid w:val="00A1211C"/>
    <w:rsid w:val="00A12904"/>
    <w:rsid w:val="00A14360"/>
    <w:rsid w:val="00A20113"/>
    <w:rsid w:val="00A20D78"/>
    <w:rsid w:val="00A2215F"/>
    <w:rsid w:val="00A22839"/>
    <w:rsid w:val="00A23E19"/>
    <w:rsid w:val="00A33185"/>
    <w:rsid w:val="00A365F0"/>
    <w:rsid w:val="00A3697D"/>
    <w:rsid w:val="00A427B7"/>
    <w:rsid w:val="00A43537"/>
    <w:rsid w:val="00A43FC0"/>
    <w:rsid w:val="00A53B04"/>
    <w:rsid w:val="00A57AF9"/>
    <w:rsid w:val="00A639E1"/>
    <w:rsid w:val="00A6487C"/>
    <w:rsid w:val="00A661F4"/>
    <w:rsid w:val="00A66326"/>
    <w:rsid w:val="00A67619"/>
    <w:rsid w:val="00A7271A"/>
    <w:rsid w:val="00A7450E"/>
    <w:rsid w:val="00A74542"/>
    <w:rsid w:val="00A74D79"/>
    <w:rsid w:val="00A779DD"/>
    <w:rsid w:val="00A81E19"/>
    <w:rsid w:val="00A83BF8"/>
    <w:rsid w:val="00A8549B"/>
    <w:rsid w:val="00A87F06"/>
    <w:rsid w:val="00A93FED"/>
    <w:rsid w:val="00A9723B"/>
    <w:rsid w:val="00AA4663"/>
    <w:rsid w:val="00AB795F"/>
    <w:rsid w:val="00AC1126"/>
    <w:rsid w:val="00AC12E7"/>
    <w:rsid w:val="00AC4BB5"/>
    <w:rsid w:val="00AC6312"/>
    <w:rsid w:val="00AD1E77"/>
    <w:rsid w:val="00AD4CBF"/>
    <w:rsid w:val="00AD6D80"/>
    <w:rsid w:val="00AD7634"/>
    <w:rsid w:val="00AE5FD8"/>
    <w:rsid w:val="00AF4EC6"/>
    <w:rsid w:val="00B008A4"/>
    <w:rsid w:val="00B1160D"/>
    <w:rsid w:val="00B139FB"/>
    <w:rsid w:val="00B15661"/>
    <w:rsid w:val="00B17459"/>
    <w:rsid w:val="00B36018"/>
    <w:rsid w:val="00B40835"/>
    <w:rsid w:val="00B42BE0"/>
    <w:rsid w:val="00B444E6"/>
    <w:rsid w:val="00B52011"/>
    <w:rsid w:val="00B53EFF"/>
    <w:rsid w:val="00B54AFA"/>
    <w:rsid w:val="00B61EAB"/>
    <w:rsid w:val="00B655D5"/>
    <w:rsid w:val="00B671A4"/>
    <w:rsid w:val="00B673F0"/>
    <w:rsid w:val="00B7248B"/>
    <w:rsid w:val="00B7514D"/>
    <w:rsid w:val="00B7702C"/>
    <w:rsid w:val="00B804E8"/>
    <w:rsid w:val="00B83EB0"/>
    <w:rsid w:val="00B842AC"/>
    <w:rsid w:val="00B844A4"/>
    <w:rsid w:val="00B86252"/>
    <w:rsid w:val="00B90F4D"/>
    <w:rsid w:val="00B936B0"/>
    <w:rsid w:val="00B94B27"/>
    <w:rsid w:val="00BA35DA"/>
    <w:rsid w:val="00BC206C"/>
    <w:rsid w:val="00BC431A"/>
    <w:rsid w:val="00BC5610"/>
    <w:rsid w:val="00BD1EED"/>
    <w:rsid w:val="00BD6026"/>
    <w:rsid w:val="00BE0FD6"/>
    <w:rsid w:val="00BE5110"/>
    <w:rsid w:val="00BF1058"/>
    <w:rsid w:val="00BF31ED"/>
    <w:rsid w:val="00BF5051"/>
    <w:rsid w:val="00BF5AFA"/>
    <w:rsid w:val="00BF7924"/>
    <w:rsid w:val="00C01A35"/>
    <w:rsid w:val="00C03772"/>
    <w:rsid w:val="00C04EDA"/>
    <w:rsid w:val="00C11522"/>
    <w:rsid w:val="00C119A2"/>
    <w:rsid w:val="00C13104"/>
    <w:rsid w:val="00C23B90"/>
    <w:rsid w:val="00C37B0C"/>
    <w:rsid w:val="00C40031"/>
    <w:rsid w:val="00C422C9"/>
    <w:rsid w:val="00C425FB"/>
    <w:rsid w:val="00C46B25"/>
    <w:rsid w:val="00C52901"/>
    <w:rsid w:val="00C53F1A"/>
    <w:rsid w:val="00C5692A"/>
    <w:rsid w:val="00C57267"/>
    <w:rsid w:val="00C616FF"/>
    <w:rsid w:val="00C61ADD"/>
    <w:rsid w:val="00C61B5E"/>
    <w:rsid w:val="00C62B63"/>
    <w:rsid w:val="00C63FC9"/>
    <w:rsid w:val="00C720CD"/>
    <w:rsid w:val="00C72B5B"/>
    <w:rsid w:val="00C74E28"/>
    <w:rsid w:val="00C869F3"/>
    <w:rsid w:val="00C91079"/>
    <w:rsid w:val="00C922E1"/>
    <w:rsid w:val="00C931E6"/>
    <w:rsid w:val="00CA182C"/>
    <w:rsid w:val="00CA1AA5"/>
    <w:rsid w:val="00CA201D"/>
    <w:rsid w:val="00CA45F8"/>
    <w:rsid w:val="00CA722E"/>
    <w:rsid w:val="00CB677D"/>
    <w:rsid w:val="00CC18AC"/>
    <w:rsid w:val="00CC7F0D"/>
    <w:rsid w:val="00CD296A"/>
    <w:rsid w:val="00CD509A"/>
    <w:rsid w:val="00CD6133"/>
    <w:rsid w:val="00CD7D5D"/>
    <w:rsid w:val="00CF0621"/>
    <w:rsid w:val="00CF0FC4"/>
    <w:rsid w:val="00CF6932"/>
    <w:rsid w:val="00D01FE3"/>
    <w:rsid w:val="00D0381E"/>
    <w:rsid w:val="00D04806"/>
    <w:rsid w:val="00D04ED6"/>
    <w:rsid w:val="00D06CA3"/>
    <w:rsid w:val="00D07F46"/>
    <w:rsid w:val="00D12BA2"/>
    <w:rsid w:val="00D152F8"/>
    <w:rsid w:val="00D170E5"/>
    <w:rsid w:val="00D23F4B"/>
    <w:rsid w:val="00D2731B"/>
    <w:rsid w:val="00D37915"/>
    <w:rsid w:val="00D37F2F"/>
    <w:rsid w:val="00D4004C"/>
    <w:rsid w:val="00D415B9"/>
    <w:rsid w:val="00D4404B"/>
    <w:rsid w:val="00D4678F"/>
    <w:rsid w:val="00D47C81"/>
    <w:rsid w:val="00D50412"/>
    <w:rsid w:val="00D51D76"/>
    <w:rsid w:val="00D528E8"/>
    <w:rsid w:val="00D529BB"/>
    <w:rsid w:val="00D551D1"/>
    <w:rsid w:val="00D60844"/>
    <w:rsid w:val="00D6656C"/>
    <w:rsid w:val="00D6DBA8"/>
    <w:rsid w:val="00D718CC"/>
    <w:rsid w:val="00D71CF2"/>
    <w:rsid w:val="00D771D0"/>
    <w:rsid w:val="00D835CF"/>
    <w:rsid w:val="00DA176F"/>
    <w:rsid w:val="00DA26FB"/>
    <w:rsid w:val="00DA36BE"/>
    <w:rsid w:val="00DA3DFB"/>
    <w:rsid w:val="00DB11FA"/>
    <w:rsid w:val="00DB2FBD"/>
    <w:rsid w:val="00DB4D5B"/>
    <w:rsid w:val="00DB5AF1"/>
    <w:rsid w:val="00DB6C3D"/>
    <w:rsid w:val="00DC2BCD"/>
    <w:rsid w:val="00DC2C71"/>
    <w:rsid w:val="00DC5ACF"/>
    <w:rsid w:val="00DC670E"/>
    <w:rsid w:val="00DC698B"/>
    <w:rsid w:val="00DD3573"/>
    <w:rsid w:val="00DD7468"/>
    <w:rsid w:val="00DE0ACF"/>
    <w:rsid w:val="00DE25E9"/>
    <w:rsid w:val="00DE5E33"/>
    <w:rsid w:val="00DE71D3"/>
    <w:rsid w:val="00DE72CF"/>
    <w:rsid w:val="00DE76D0"/>
    <w:rsid w:val="00DE78AE"/>
    <w:rsid w:val="00DF08A0"/>
    <w:rsid w:val="00DF659E"/>
    <w:rsid w:val="00E13BEF"/>
    <w:rsid w:val="00E26136"/>
    <w:rsid w:val="00E30160"/>
    <w:rsid w:val="00E30EBB"/>
    <w:rsid w:val="00E334A1"/>
    <w:rsid w:val="00E34278"/>
    <w:rsid w:val="00E546AA"/>
    <w:rsid w:val="00E557E0"/>
    <w:rsid w:val="00E56A93"/>
    <w:rsid w:val="00E70760"/>
    <w:rsid w:val="00E75188"/>
    <w:rsid w:val="00E81B50"/>
    <w:rsid w:val="00E821CE"/>
    <w:rsid w:val="00E825B2"/>
    <w:rsid w:val="00E86480"/>
    <w:rsid w:val="00E91947"/>
    <w:rsid w:val="00E9253C"/>
    <w:rsid w:val="00E96616"/>
    <w:rsid w:val="00E97FB1"/>
    <w:rsid w:val="00EB0CBB"/>
    <w:rsid w:val="00EB3CF0"/>
    <w:rsid w:val="00EB45B5"/>
    <w:rsid w:val="00EB5E57"/>
    <w:rsid w:val="00EB61DB"/>
    <w:rsid w:val="00EB6A2E"/>
    <w:rsid w:val="00ED1AD0"/>
    <w:rsid w:val="00ED2463"/>
    <w:rsid w:val="00ED4AFD"/>
    <w:rsid w:val="00ED6776"/>
    <w:rsid w:val="00EE11E5"/>
    <w:rsid w:val="00EE29CD"/>
    <w:rsid w:val="00EE3ADF"/>
    <w:rsid w:val="00EE4FBE"/>
    <w:rsid w:val="00EE59A0"/>
    <w:rsid w:val="00EF5CA8"/>
    <w:rsid w:val="00F0159B"/>
    <w:rsid w:val="00F038A1"/>
    <w:rsid w:val="00F06E4E"/>
    <w:rsid w:val="00F07FCF"/>
    <w:rsid w:val="00F10BA0"/>
    <w:rsid w:val="00F123A5"/>
    <w:rsid w:val="00F163C6"/>
    <w:rsid w:val="00F20E54"/>
    <w:rsid w:val="00F238E0"/>
    <w:rsid w:val="00F24C5D"/>
    <w:rsid w:val="00F25F08"/>
    <w:rsid w:val="00F273C9"/>
    <w:rsid w:val="00F4391A"/>
    <w:rsid w:val="00F445FE"/>
    <w:rsid w:val="00F51E01"/>
    <w:rsid w:val="00F54B97"/>
    <w:rsid w:val="00F5649A"/>
    <w:rsid w:val="00F67DC5"/>
    <w:rsid w:val="00F67EDC"/>
    <w:rsid w:val="00F73936"/>
    <w:rsid w:val="00F75749"/>
    <w:rsid w:val="00F76ED5"/>
    <w:rsid w:val="00F80CD4"/>
    <w:rsid w:val="00F82342"/>
    <w:rsid w:val="00F84C5D"/>
    <w:rsid w:val="00F877DB"/>
    <w:rsid w:val="00F908CD"/>
    <w:rsid w:val="00F91AE4"/>
    <w:rsid w:val="00F93C8B"/>
    <w:rsid w:val="00F959DD"/>
    <w:rsid w:val="00F960D5"/>
    <w:rsid w:val="00F9747A"/>
    <w:rsid w:val="00FA08AF"/>
    <w:rsid w:val="00FA514E"/>
    <w:rsid w:val="00FB1231"/>
    <w:rsid w:val="00FB5FEC"/>
    <w:rsid w:val="00FB78DD"/>
    <w:rsid w:val="00FC1C5C"/>
    <w:rsid w:val="00FC3CE4"/>
    <w:rsid w:val="00FC3FD3"/>
    <w:rsid w:val="00FC4CB6"/>
    <w:rsid w:val="00FC5468"/>
    <w:rsid w:val="00FC70C7"/>
    <w:rsid w:val="00FE17E2"/>
    <w:rsid w:val="00FE544D"/>
    <w:rsid w:val="00FF1950"/>
    <w:rsid w:val="00FF5EEE"/>
    <w:rsid w:val="00FF6E4B"/>
    <w:rsid w:val="010D0E97"/>
    <w:rsid w:val="0126E62E"/>
    <w:rsid w:val="01BCAFC4"/>
    <w:rsid w:val="01DDFDE0"/>
    <w:rsid w:val="02659A8A"/>
    <w:rsid w:val="0311D759"/>
    <w:rsid w:val="04316186"/>
    <w:rsid w:val="045DAB08"/>
    <w:rsid w:val="04F7B30A"/>
    <w:rsid w:val="050AFB41"/>
    <w:rsid w:val="056BE8FE"/>
    <w:rsid w:val="06661C4A"/>
    <w:rsid w:val="06976AC2"/>
    <w:rsid w:val="06A0AD6A"/>
    <w:rsid w:val="0706BD40"/>
    <w:rsid w:val="0766FEA3"/>
    <w:rsid w:val="08BC7C38"/>
    <w:rsid w:val="08C6A188"/>
    <w:rsid w:val="09AF76A4"/>
    <w:rsid w:val="0A406187"/>
    <w:rsid w:val="0ADC09CD"/>
    <w:rsid w:val="0B35E04D"/>
    <w:rsid w:val="0B50F87F"/>
    <w:rsid w:val="0BA309E8"/>
    <w:rsid w:val="0CE59AA8"/>
    <w:rsid w:val="0CF571AC"/>
    <w:rsid w:val="0D3EAE82"/>
    <w:rsid w:val="0E0784BA"/>
    <w:rsid w:val="0E389AD9"/>
    <w:rsid w:val="0E7679A3"/>
    <w:rsid w:val="0F27B511"/>
    <w:rsid w:val="0F4E876D"/>
    <w:rsid w:val="103CC198"/>
    <w:rsid w:val="10504C5C"/>
    <w:rsid w:val="11BA8889"/>
    <w:rsid w:val="12785CBF"/>
    <w:rsid w:val="13AAC6F3"/>
    <w:rsid w:val="13B6B43F"/>
    <w:rsid w:val="141439B6"/>
    <w:rsid w:val="1472C65E"/>
    <w:rsid w:val="14AC7931"/>
    <w:rsid w:val="15C02587"/>
    <w:rsid w:val="16B20E3D"/>
    <w:rsid w:val="175F292F"/>
    <w:rsid w:val="17F41994"/>
    <w:rsid w:val="18765522"/>
    <w:rsid w:val="190DFB24"/>
    <w:rsid w:val="1A007B15"/>
    <w:rsid w:val="1A8DC019"/>
    <w:rsid w:val="1AFBFD83"/>
    <w:rsid w:val="1AFC6CA0"/>
    <w:rsid w:val="1B669B56"/>
    <w:rsid w:val="1BC12AF8"/>
    <w:rsid w:val="1D82C7C2"/>
    <w:rsid w:val="1E09424E"/>
    <w:rsid w:val="1E55E84C"/>
    <w:rsid w:val="1EAFCE69"/>
    <w:rsid w:val="206D4D0C"/>
    <w:rsid w:val="209C2F54"/>
    <w:rsid w:val="20F636A3"/>
    <w:rsid w:val="2114DDE8"/>
    <w:rsid w:val="212ED0A3"/>
    <w:rsid w:val="214269A9"/>
    <w:rsid w:val="21BA9BFE"/>
    <w:rsid w:val="224DF7B4"/>
    <w:rsid w:val="23B6646C"/>
    <w:rsid w:val="23BDF168"/>
    <w:rsid w:val="23FC22E1"/>
    <w:rsid w:val="246A3840"/>
    <w:rsid w:val="247A0A6B"/>
    <w:rsid w:val="257040F1"/>
    <w:rsid w:val="257A0559"/>
    <w:rsid w:val="2615DACC"/>
    <w:rsid w:val="2629547E"/>
    <w:rsid w:val="26368DFD"/>
    <w:rsid w:val="26778600"/>
    <w:rsid w:val="2697ADCA"/>
    <w:rsid w:val="2699174E"/>
    <w:rsid w:val="28516769"/>
    <w:rsid w:val="2855C07B"/>
    <w:rsid w:val="2874F33A"/>
    <w:rsid w:val="2896C77B"/>
    <w:rsid w:val="293E3639"/>
    <w:rsid w:val="29ACF0F2"/>
    <w:rsid w:val="29D016EF"/>
    <w:rsid w:val="2A3297DC"/>
    <w:rsid w:val="2AC73CA4"/>
    <w:rsid w:val="2AC7DAF9"/>
    <w:rsid w:val="2B1D0C55"/>
    <w:rsid w:val="2B2F2C35"/>
    <w:rsid w:val="2B5A61CC"/>
    <w:rsid w:val="2BDFD774"/>
    <w:rsid w:val="2D363C95"/>
    <w:rsid w:val="2D4D7385"/>
    <w:rsid w:val="2D81D7B0"/>
    <w:rsid w:val="2D8786B9"/>
    <w:rsid w:val="2F12BB9C"/>
    <w:rsid w:val="2FC42FB0"/>
    <w:rsid w:val="30085F66"/>
    <w:rsid w:val="30A23317"/>
    <w:rsid w:val="311190E3"/>
    <w:rsid w:val="31A2E8FC"/>
    <w:rsid w:val="3226333B"/>
    <w:rsid w:val="32959AF1"/>
    <w:rsid w:val="32D8CDF2"/>
    <w:rsid w:val="3379E545"/>
    <w:rsid w:val="35264DE3"/>
    <w:rsid w:val="353475EB"/>
    <w:rsid w:val="35675DD2"/>
    <w:rsid w:val="35F90B75"/>
    <w:rsid w:val="362058EA"/>
    <w:rsid w:val="3641D6FB"/>
    <w:rsid w:val="3653EC37"/>
    <w:rsid w:val="365B54B9"/>
    <w:rsid w:val="3711C413"/>
    <w:rsid w:val="3804D64B"/>
    <w:rsid w:val="38439666"/>
    <w:rsid w:val="38924630"/>
    <w:rsid w:val="38A7F185"/>
    <w:rsid w:val="38F389C3"/>
    <w:rsid w:val="38F42F08"/>
    <w:rsid w:val="3924DE55"/>
    <w:rsid w:val="3952C77F"/>
    <w:rsid w:val="39B688EF"/>
    <w:rsid w:val="3A2054BE"/>
    <w:rsid w:val="3A290D1E"/>
    <w:rsid w:val="3AB03987"/>
    <w:rsid w:val="3AD46A1E"/>
    <w:rsid w:val="3C2AD80B"/>
    <w:rsid w:val="3C903B2F"/>
    <w:rsid w:val="3D32D756"/>
    <w:rsid w:val="3D7E0D29"/>
    <w:rsid w:val="3E0D6449"/>
    <w:rsid w:val="3EAC3FCC"/>
    <w:rsid w:val="3EAD96CA"/>
    <w:rsid w:val="3EB0D82A"/>
    <w:rsid w:val="3F8229A9"/>
    <w:rsid w:val="3FB1F3C8"/>
    <w:rsid w:val="4110DE99"/>
    <w:rsid w:val="41CB9597"/>
    <w:rsid w:val="423A7EEA"/>
    <w:rsid w:val="424C82CA"/>
    <w:rsid w:val="4276A3A9"/>
    <w:rsid w:val="42C0FD4C"/>
    <w:rsid w:val="42DF7C03"/>
    <w:rsid w:val="43664794"/>
    <w:rsid w:val="43B38B2F"/>
    <w:rsid w:val="43CB5A7D"/>
    <w:rsid w:val="43D326DD"/>
    <w:rsid w:val="445DD708"/>
    <w:rsid w:val="44622407"/>
    <w:rsid w:val="448C8710"/>
    <w:rsid w:val="448DFC00"/>
    <w:rsid w:val="46ABA115"/>
    <w:rsid w:val="479AC0E8"/>
    <w:rsid w:val="47B2ED26"/>
    <w:rsid w:val="47CD7A40"/>
    <w:rsid w:val="47E782AC"/>
    <w:rsid w:val="4800DDEE"/>
    <w:rsid w:val="485A16F6"/>
    <w:rsid w:val="4897C118"/>
    <w:rsid w:val="492FE3CE"/>
    <w:rsid w:val="498D95AC"/>
    <w:rsid w:val="49CFD7D8"/>
    <w:rsid w:val="49D15288"/>
    <w:rsid w:val="49F1A166"/>
    <w:rsid w:val="4A9D2577"/>
    <w:rsid w:val="4AAC4B38"/>
    <w:rsid w:val="4AF9BA88"/>
    <w:rsid w:val="4BF471A5"/>
    <w:rsid w:val="4C3F577C"/>
    <w:rsid w:val="4C528883"/>
    <w:rsid w:val="4D247890"/>
    <w:rsid w:val="4DE3EBFA"/>
    <w:rsid w:val="4E2D67C9"/>
    <w:rsid w:val="4E913D7A"/>
    <w:rsid w:val="4EA6AC29"/>
    <w:rsid w:val="4EE80D62"/>
    <w:rsid w:val="4F0FF9F8"/>
    <w:rsid w:val="5075CC56"/>
    <w:rsid w:val="51C9EAD1"/>
    <w:rsid w:val="526D631C"/>
    <w:rsid w:val="526EA749"/>
    <w:rsid w:val="5413FE2F"/>
    <w:rsid w:val="549AF3E6"/>
    <w:rsid w:val="5516A3CC"/>
    <w:rsid w:val="55309F94"/>
    <w:rsid w:val="55D8FAC5"/>
    <w:rsid w:val="55DAD3D7"/>
    <w:rsid w:val="5600FA2A"/>
    <w:rsid w:val="5611D997"/>
    <w:rsid w:val="5667EC4B"/>
    <w:rsid w:val="56CCBC26"/>
    <w:rsid w:val="57421499"/>
    <w:rsid w:val="576EF44A"/>
    <w:rsid w:val="57BD0AC1"/>
    <w:rsid w:val="57E64885"/>
    <w:rsid w:val="583AC934"/>
    <w:rsid w:val="590406DB"/>
    <w:rsid w:val="5908CE47"/>
    <w:rsid w:val="59A7E8FB"/>
    <w:rsid w:val="5A5F1901"/>
    <w:rsid w:val="5AD0CF70"/>
    <w:rsid w:val="5B94EAFF"/>
    <w:rsid w:val="5B95DEE5"/>
    <w:rsid w:val="5C392ABF"/>
    <w:rsid w:val="5CA51200"/>
    <w:rsid w:val="5CAF2068"/>
    <w:rsid w:val="5D5DC203"/>
    <w:rsid w:val="5D780122"/>
    <w:rsid w:val="5DA94B92"/>
    <w:rsid w:val="5E87E527"/>
    <w:rsid w:val="5F6850D8"/>
    <w:rsid w:val="5F7C669F"/>
    <w:rsid w:val="6095950E"/>
    <w:rsid w:val="60D57A37"/>
    <w:rsid w:val="60EADAD5"/>
    <w:rsid w:val="61CDA384"/>
    <w:rsid w:val="61E8B553"/>
    <w:rsid w:val="61EFD89F"/>
    <w:rsid w:val="620CE423"/>
    <w:rsid w:val="6231656F"/>
    <w:rsid w:val="62480847"/>
    <w:rsid w:val="626A266F"/>
    <w:rsid w:val="62A31847"/>
    <w:rsid w:val="62E0746C"/>
    <w:rsid w:val="630BC6FA"/>
    <w:rsid w:val="640276E8"/>
    <w:rsid w:val="648A65FD"/>
    <w:rsid w:val="64BE724C"/>
    <w:rsid w:val="64DA3BEB"/>
    <w:rsid w:val="64E037D4"/>
    <w:rsid w:val="65516C02"/>
    <w:rsid w:val="65573DAF"/>
    <w:rsid w:val="65690631"/>
    <w:rsid w:val="658AAB09"/>
    <w:rsid w:val="6598D65A"/>
    <w:rsid w:val="65AB7E27"/>
    <w:rsid w:val="66505987"/>
    <w:rsid w:val="668FBC45"/>
    <w:rsid w:val="6705C384"/>
    <w:rsid w:val="6897B3DA"/>
    <w:rsid w:val="68C60C42"/>
    <w:rsid w:val="68F11252"/>
    <w:rsid w:val="69377854"/>
    <w:rsid w:val="69F66D17"/>
    <w:rsid w:val="6A3C7754"/>
    <w:rsid w:val="6A4F14D2"/>
    <w:rsid w:val="6AD19E92"/>
    <w:rsid w:val="6BCCFCFA"/>
    <w:rsid w:val="6D22A484"/>
    <w:rsid w:val="6DAAFB5C"/>
    <w:rsid w:val="6DF707EC"/>
    <w:rsid w:val="6E0DE988"/>
    <w:rsid w:val="6E9EEB1F"/>
    <w:rsid w:val="6EF88350"/>
    <w:rsid w:val="6F048037"/>
    <w:rsid w:val="6F3097AD"/>
    <w:rsid w:val="6F970541"/>
    <w:rsid w:val="6F976086"/>
    <w:rsid w:val="70384351"/>
    <w:rsid w:val="7072E60B"/>
    <w:rsid w:val="708EBA43"/>
    <w:rsid w:val="712D2A10"/>
    <w:rsid w:val="714287DD"/>
    <w:rsid w:val="7180E8C6"/>
    <w:rsid w:val="71D413B2"/>
    <w:rsid w:val="724B30F5"/>
    <w:rsid w:val="72BAE82C"/>
    <w:rsid w:val="736FE413"/>
    <w:rsid w:val="73FCCD31"/>
    <w:rsid w:val="743FE1CE"/>
    <w:rsid w:val="7526048E"/>
    <w:rsid w:val="754B8996"/>
    <w:rsid w:val="75A57212"/>
    <w:rsid w:val="761BA286"/>
    <w:rsid w:val="766DC8F4"/>
    <w:rsid w:val="773CB5FC"/>
    <w:rsid w:val="7791EA71"/>
    <w:rsid w:val="79846F07"/>
    <w:rsid w:val="7A1AFEAA"/>
    <w:rsid w:val="7AE0A857"/>
    <w:rsid w:val="7B313357"/>
    <w:rsid w:val="7BA3B2AF"/>
    <w:rsid w:val="7C1BA8D4"/>
    <w:rsid w:val="7C5F16C0"/>
    <w:rsid w:val="7C88E96C"/>
    <w:rsid w:val="7D0F3137"/>
    <w:rsid w:val="7D62A6F4"/>
    <w:rsid w:val="7D922966"/>
    <w:rsid w:val="7DD39402"/>
    <w:rsid w:val="7E3A3C39"/>
    <w:rsid w:val="7E7A01E3"/>
    <w:rsid w:val="7FF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15:docId w15:val="{4B604C61-B829-4B4C-A1B7-64E8A96E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CharChar0">
    <w:name w:val="Char Char Char Char0"/>
    <w:basedOn w:val="Normal"/>
    <w:locked/>
    <w:rsid w:val="004B55F3"/>
    <w:pPr>
      <w:spacing w:after="160" w:line="240" w:lineRule="exact"/>
    </w:pPr>
    <w:rPr>
      <w:rFonts w:ascii="Verdana" w:hAnsi="Verdana"/>
      <w:sz w:val="20"/>
      <w:lang w:val="en-US"/>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474B16"/>
    <w:rPr>
      <w:rFonts w:ascii="Arial" w:hAnsi="Arial"/>
      <w:sz w:val="24"/>
      <w:lang w:eastAsia="en-US"/>
    </w:rPr>
  </w:style>
  <w:style w:type="paragraph" w:styleId="CommentText">
    <w:name w:val="annotation text"/>
    <w:basedOn w:val="Normal"/>
    <w:link w:val="CommentTextChar"/>
    <w:semiHidden/>
    <w:unhideWhenUsed/>
    <w:rsid w:val="00BA35DA"/>
    <w:rPr>
      <w:sz w:val="20"/>
    </w:rPr>
  </w:style>
  <w:style w:type="character" w:customStyle="1" w:styleId="CommentTextChar">
    <w:name w:val="Comment Text Char"/>
    <w:basedOn w:val="DefaultParagraphFont"/>
    <w:link w:val="CommentText"/>
    <w:semiHidden/>
    <w:rsid w:val="00BA35DA"/>
    <w:rPr>
      <w:rFonts w:ascii="Arial" w:hAnsi="Arial"/>
      <w:lang w:eastAsia="en-US"/>
    </w:rPr>
  </w:style>
  <w:style w:type="character" w:styleId="CommentReference">
    <w:name w:val="annotation reference"/>
    <w:basedOn w:val="DefaultParagraphFont"/>
    <w:semiHidden/>
    <w:unhideWhenUsed/>
    <w:rsid w:val="00BA35DA"/>
    <w:rPr>
      <w:sz w:val="16"/>
      <w:szCs w:val="16"/>
    </w:rPr>
  </w:style>
  <w:style w:type="character" w:customStyle="1" w:styleId="FootnoteTextChar">
    <w:name w:val="Footnote Text Char"/>
    <w:basedOn w:val="DefaultParagraphFont"/>
    <w:link w:val="FootnoteText"/>
    <w:uiPriority w:val="99"/>
    <w:rsid w:val="00DA3DFB"/>
    <w:rPr>
      <w:lang w:eastAsia="en-US"/>
    </w:rPr>
  </w:style>
  <w:style w:type="paragraph" w:styleId="CommentSubject">
    <w:name w:val="annotation subject"/>
    <w:basedOn w:val="CommentText"/>
    <w:next w:val="CommentText"/>
    <w:link w:val="CommentSubjectChar"/>
    <w:semiHidden/>
    <w:unhideWhenUsed/>
    <w:rsid w:val="00E34278"/>
    <w:rPr>
      <w:b/>
      <w:bCs/>
    </w:rPr>
  </w:style>
  <w:style w:type="character" w:customStyle="1" w:styleId="CommentSubjectChar">
    <w:name w:val="Comment Subject Char"/>
    <w:basedOn w:val="CommentTextChar"/>
    <w:link w:val="CommentSubject"/>
    <w:semiHidden/>
    <w:rsid w:val="00E3427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4365979">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ce.org.uk/guidance/ph28/evidence/ep22-the-mental-health-of-looked-after-children-under-5-years-joe-sempik-43013329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ya.ganatra@harrow.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esearchgate.net/journal/Community-Mental-Health-Journal-1573-278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ylondon.org/mental-health-services-for-looked-after-children-and-care-leavers-new-survey-resul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7d332a-0d9f-4a66-9568-bc675428a37b" xsi:nil="true"/>
    <lcf76f155ced4ddcb4097134ff3c332f xmlns="ecadb707-269b-489c-9dd0-cd7e05c34235">
      <Terms xmlns="http://schemas.microsoft.com/office/infopath/2007/PartnerControls"/>
    </lcf76f155ced4ddcb4097134ff3c332f>
    <SharedWithUsers xmlns="717d332a-0d9f-4a66-9568-bc675428a37b">
      <UserInfo>
        <DisplayName>Lisa Taylor</DisplayName>
        <AccountId>23</AccountId>
        <AccountType/>
      </UserInfo>
      <UserInfo>
        <DisplayName>Jo Frost</DisplayName>
        <AccountId>20</AccountId>
        <AccountType/>
      </UserInfo>
      <UserInfo>
        <DisplayName>Priya Ganatra</DisplayName>
        <AccountId>15</AccountId>
        <AccountType/>
      </UserInfo>
      <UserInfo>
        <DisplayName>Jacinta Kane</DisplayName>
        <AccountId>46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AE1A4FE6F09C4A8C5B89623FA48A97" ma:contentTypeVersion="15" ma:contentTypeDescription="Create a new document." ma:contentTypeScope="" ma:versionID="1143e277aafeb28005edf200228dc1ec">
  <xsd:schema xmlns:xsd="http://www.w3.org/2001/XMLSchema" xmlns:xs="http://www.w3.org/2001/XMLSchema" xmlns:p="http://schemas.microsoft.com/office/2006/metadata/properties" xmlns:ns2="ecadb707-269b-489c-9dd0-cd7e05c34235" xmlns:ns3="717d332a-0d9f-4a66-9568-bc675428a37b" targetNamespace="http://schemas.microsoft.com/office/2006/metadata/properties" ma:root="true" ma:fieldsID="3c469aa70a020b7699e156ee76ca2498" ns2:_="" ns3:_="">
    <xsd:import namespace="ecadb707-269b-489c-9dd0-cd7e05c34235"/>
    <xsd:import namespace="717d332a-0d9f-4a66-9568-bc675428a3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db707-269b-489c-9dd0-cd7e05c3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7d332a-0d9f-4a66-9568-bc675428a3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a8929d-20c9-4d2b-a5af-ff29103efe36}" ma:internalName="TaxCatchAll" ma:showField="CatchAllData" ma:web="717d332a-0d9f-4a66-9568-bc675428a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17d332a-0d9f-4a66-9568-bc675428a37b"/>
    <ds:schemaRef ds:uri="ecadb707-269b-489c-9dd0-cd7e05c34235"/>
  </ds:schemaRefs>
</ds:datastoreItem>
</file>

<file path=customXml/itemProps5.xml><?xml version="1.0" encoding="utf-8"?>
<ds:datastoreItem xmlns:ds="http://schemas.openxmlformats.org/officeDocument/2006/customXml" ds:itemID="{52327164-8374-4861-A893-E560DCE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db707-269b-489c-9dd0-cd7e05c34235"/>
    <ds:schemaRef ds:uri="717d332a-0d9f-4a66-9568-bc675428a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3208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4</cp:revision>
  <cp:lastPrinted>2014-10-31T23:34:00Z</cp:lastPrinted>
  <dcterms:created xsi:type="dcterms:W3CDTF">2022-09-05T09:04:00Z</dcterms:created>
  <dcterms:modified xsi:type="dcterms:W3CDTF">2022-09-06T14:35:00Z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0x010100DDAE1A4FE6F09C4A8C5B89623FA48A97</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